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0F94" w14:textId="77777777" w:rsidR="006C6435" w:rsidRDefault="00742F48">
      <w:pPr>
        <w:pStyle w:val="Standard"/>
        <w:spacing w:after="120" w:line="247" w:lineRule="auto"/>
        <w:jc w:val="both"/>
      </w:pPr>
      <w:r>
        <w:rPr>
          <w:b/>
          <w:bCs/>
          <w:u w:val="single"/>
        </w:rPr>
        <w:t>Dotyczy</w:t>
      </w:r>
      <w:r>
        <w:t>: Zapytania ofertowego na: ś</w:t>
      </w:r>
      <w:r>
        <w:rPr>
          <w:iCs/>
        </w:rPr>
        <w:t>wiadczenie usług telekomunikacyjnych dla Uniwersytetu Gdańskiego w zakresie usług  telefonii komórkowej i usług bezprzewodowego dostępu do Internetu.</w:t>
      </w:r>
    </w:p>
    <w:p w14:paraId="6FB77C66" w14:textId="77777777" w:rsidR="006C6435" w:rsidRDefault="006C6435">
      <w:pPr>
        <w:pStyle w:val="Standard"/>
        <w:spacing w:after="120" w:line="247" w:lineRule="auto"/>
        <w:ind w:left="720" w:hanging="360"/>
        <w:jc w:val="center"/>
      </w:pPr>
    </w:p>
    <w:p w14:paraId="6D2C5AE0" w14:textId="77777777" w:rsidR="006C6435" w:rsidRDefault="00742F48">
      <w:pPr>
        <w:pStyle w:val="Standard"/>
        <w:spacing w:after="120" w:line="247" w:lineRule="auto"/>
        <w:ind w:left="720" w:hanging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ODPOWIEDZI NA PYTANIA – ZESTAW NR 1</w:t>
      </w:r>
    </w:p>
    <w:p w14:paraId="59A72D19" w14:textId="77777777" w:rsidR="006C6435" w:rsidRDefault="006C6435">
      <w:pPr>
        <w:pStyle w:val="Standard"/>
        <w:spacing w:after="120" w:line="247" w:lineRule="auto"/>
        <w:ind w:left="72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7D79FD4F" w14:textId="77777777" w:rsidR="006C6435" w:rsidRDefault="00742F48">
      <w:pPr>
        <w:pStyle w:val="Akapitzlist"/>
        <w:overflowPunct w:val="0"/>
        <w:autoSpaceDE w:val="0"/>
        <w:spacing w:after="120" w:line="280" w:lineRule="exact"/>
        <w:ind w:left="0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1</w:t>
      </w:r>
    </w:p>
    <w:p w14:paraId="4BF7A8C0" w14:textId="77777777" w:rsidR="006C6435" w:rsidRDefault="00742F48">
      <w:pPr>
        <w:pStyle w:val="Standard"/>
        <w:spacing w:after="120" w:line="247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en-US"/>
        </w:rPr>
        <w:t>Wykonawca wnosi o potwierdzenie zapisów w § 5 ust.3 wzoru umowy, iż szkolenie do których przeprowadzenia zobowiązany jest Wykonawca, będzie możliwe do przeprowadzenia za pomocą platformy szkoleniowej online?</w:t>
      </w:r>
    </w:p>
    <w:p w14:paraId="77119AB3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7968B3C5" w14:textId="77777777" w:rsidR="006C6435" w:rsidRDefault="00742F48">
      <w:pPr>
        <w:pStyle w:val="xmsonormal"/>
      </w:pPr>
      <w:r>
        <w:rPr>
          <w:rFonts w:eastAsia="Times New Roman" w:cs="Calibri"/>
          <w:i/>
          <w:shd w:val="clear" w:color="auto" w:fill="C0C0C0"/>
          <w:lang w:eastAsia="en-US"/>
        </w:rPr>
        <w:t xml:space="preserve">TAK, szkolenie do których </w:t>
      </w:r>
      <w:r>
        <w:rPr>
          <w:rFonts w:eastAsia="Times New Roman" w:cs="Calibri"/>
          <w:i/>
          <w:shd w:val="clear" w:color="auto" w:fill="C0C0C0"/>
          <w:lang w:eastAsia="en-US"/>
        </w:rPr>
        <w:t>przeprowadzenia zobowiązany jest Wykonawca, będzie możliwe do przeprowadzenia za pomocą platformy szkoleniowej online.</w:t>
      </w:r>
    </w:p>
    <w:p w14:paraId="40C57863" w14:textId="77777777" w:rsidR="006C6435" w:rsidRDefault="00742F48">
      <w:pPr>
        <w:pStyle w:val="Akapitzlist"/>
        <w:overflowPunct w:val="0"/>
        <w:autoSpaceDE w:val="0"/>
        <w:spacing w:before="120" w:after="120" w:line="280" w:lineRule="exact"/>
        <w:ind w:left="0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2</w:t>
      </w:r>
    </w:p>
    <w:p w14:paraId="72A8567D" w14:textId="77777777" w:rsidR="006C6435" w:rsidRDefault="00742F48">
      <w:pPr>
        <w:pStyle w:val="Standard"/>
        <w:spacing w:after="120" w:line="247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Wykonawca wnosi o  uzależnienie poszczególnych przypadków odpowiedzialności wykonawcy za niewykonanie lub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nienależyte wykonanie umowy  od wystąpienia „zwłoki” po jego stronie. Tym samym, ilekroć w projekcie Umowy § 7 ust. 1 Zamawiający posługuje się  terminem „opóźnienie”, Wykonawca wnosi o wprowadzenie terminu  „zwłoka”.  Opóźnienia są bowiem  następstwem  ta</w:t>
      </w:r>
      <w:r>
        <w:rPr>
          <w:rFonts w:ascii="Calibri" w:eastAsia="Times New Roman" w:hAnsi="Calibri" w:cs="Calibri"/>
          <w:sz w:val="22"/>
          <w:szCs w:val="22"/>
          <w:lang w:eastAsia="en-US"/>
        </w:rPr>
        <w:t>kże takich okoliczności, na które wykonawca nie ma wpływu (np. zależnych wyłącznie od Zamawiającego lub podmiotu trzeciego), w konsekwencji czego nie powinny one stanowić podstawy odpowiedzialności wykonawcy. W przypadku podtrzymania obecnego rozwiązania p</w:t>
      </w:r>
      <w:r>
        <w:rPr>
          <w:rFonts w:ascii="Calibri" w:eastAsia="Times New Roman" w:hAnsi="Calibri" w:cs="Calibri"/>
          <w:sz w:val="22"/>
          <w:szCs w:val="22"/>
          <w:lang w:eastAsia="en-US"/>
        </w:rPr>
        <w:t>rzez Zamawiającego konieczne będzie uwzględnienie powyższego ryzyka w ofercie cenowej przez wykonawców ubiegających się o zamówienie, co prowadzić będzie do zwiększenia ceny ofertowej.</w:t>
      </w:r>
    </w:p>
    <w:p w14:paraId="3F0AE229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1F931657" w14:textId="77777777" w:rsidR="006C6435" w:rsidRDefault="00742F48">
      <w:pPr>
        <w:pStyle w:val="Akapitzlist"/>
        <w:spacing w:line="280" w:lineRule="exact"/>
        <w:ind w:left="0"/>
        <w:jc w:val="both"/>
      </w:pPr>
      <w:r>
        <w:rPr>
          <w:rFonts w:ascii="Calibri" w:eastAsia="Times New Roman" w:hAnsi="Calibri" w:cs="Calibri"/>
          <w:i/>
          <w:sz w:val="22"/>
          <w:szCs w:val="22"/>
          <w:shd w:val="clear" w:color="auto" w:fill="C0C0C0"/>
          <w:lang w:eastAsia="en-US"/>
        </w:rPr>
        <w:t>Taka zmiana jest dopuszczalna. Za taką możliwością  przemaw</w:t>
      </w:r>
      <w:r>
        <w:rPr>
          <w:rFonts w:ascii="Calibri" w:eastAsia="Times New Roman" w:hAnsi="Calibri" w:cs="Calibri"/>
          <w:i/>
          <w:sz w:val="22"/>
          <w:szCs w:val="22"/>
          <w:shd w:val="clear" w:color="auto" w:fill="C0C0C0"/>
          <w:lang w:eastAsia="en-US"/>
        </w:rPr>
        <w:t>iają również uregulowania nowej ustawy PZP, która w klauzulach abuzywnych przewiduje wyłącznie odpowiedzialność wykonawcy za zwłokę w wykonaniu przedmiotu umowy.</w:t>
      </w:r>
    </w:p>
    <w:p w14:paraId="68CCBA1B" w14:textId="77777777" w:rsidR="006C6435" w:rsidRDefault="00742F48">
      <w:pPr>
        <w:pStyle w:val="Akapitzlist"/>
        <w:overflowPunct w:val="0"/>
        <w:autoSpaceDE w:val="0"/>
        <w:spacing w:before="120" w:after="120" w:line="280" w:lineRule="exact"/>
        <w:ind w:left="0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3</w:t>
      </w:r>
    </w:p>
    <w:p w14:paraId="110C87FC" w14:textId="77777777" w:rsidR="006C6435" w:rsidRDefault="00742F48">
      <w:pPr>
        <w:pStyle w:val="Standard"/>
        <w:spacing w:after="120" w:line="247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en-US"/>
        </w:rPr>
        <w:t>Wykonawca wnosi o modyfikację zapisów w  pkt 3.1 lit d) załącznika numer 1 tak ab</w:t>
      </w:r>
      <w:r>
        <w:rPr>
          <w:rFonts w:ascii="Calibri" w:eastAsia="Times New Roman" w:hAnsi="Calibri" w:cs="Calibri"/>
          <w:sz w:val="22"/>
          <w:szCs w:val="22"/>
          <w:lang w:eastAsia="en-US"/>
        </w:rPr>
        <w:t>y identyfikacja numeru dzwoniącego dotyczyła tylko tych numerów, które nie są zastrzeżone zgodnie z art. 171 ustawy prawo telekomunikacyjne.</w:t>
      </w:r>
    </w:p>
    <w:p w14:paraId="28C990C9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57C43860" w14:textId="77777777" w:rsidR="006C6435" w:rsidRDefault="00742F48">
      <w:pPr>
        <w:pStyle w:val="xmsonormal"/>
        <w:jc w:val="both"/>
      </w:pPr>
      <w:r>
        <w:rPr>
          <w:rFonts w:eastAsia="Times New Roman" w:cs="Calibri"/>
          <w:i/>
          <w:shd w:val="clear" w:color="auto" w:fill="C0C0C0"/>
          <w:lang w:eastAsia="en-US"/>
        </w:rPr>
        <w:t>TAK, identyfikacja numeru dzwoniącego dotyczy tylko numerów, które nie są zastrzeżone zgodnie z art. 17</w:t>
      </w:r>
      <w:r>
        <w:rPr>
          <w:rFonts w:eastAsia="Times New Roman" w:cs="Calibri"/>
          <w:i/>
          <w:shd w:val="clear" w:color="auto" w:fill="C0C0C0"/>
          <w:lang w:eastAsia="en-US"/>
        </w:rPr>
        <w:t>1 ustawy prawo telekomunikacyjne.</w:t>
      </w:r>
    </w:p>
    <w:p w14:paraId="1DB38E0C" w14:textId="77777777" w:rsidR="006C6435" w:rsidRDefault="00742F48">
      <w:pPr>
        <w:pStyle w:val="Akapitzlist"/>
        <w:overflowPunct w:val="0"/>
        <w:autoSpaceDE w:val="0"/>
        <w:spacing w:before="120" w:after="120" w:line="280" w:lineRule="exact"/>
        <w:ind w:left="0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4</w:t>
      </w:r>
    </w:p>
    <w:p w14:paraId="0C5D2DAA" w14:textId="77777777" w:rsidR="006C6435" w:rsidRDefault="00742F48">
      <w:pPr>
        <w:pStyle w:val="Standard"/>
        <w:spacing w:after="120" w:line="247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en-US"/>
        </w:rPr>
        <w:t>Wykonawca wnosi o wyjaśnienie co Zamawiający rozumie pod pojęciem ochrony urządzeń mobilnych, zwłaszcza że przedmiot zamówienia nie obejmuje dostawy urządzeń telekomunikacyjnych? Czy Zamawiający oczekuje dosta</w:t>
      </w:r>
      <w:r>
        <w:rPr>
          <w:rFonts w:ascii="Calibri" w:eastAsia="Times New Roman" w:hAnsi="Calibri" w:cs="Calibri"/>
          <w:sz w:val="22"/>
          <w:szCs w:val="22"/>
          <w:lang w:eastAsia="en-US"/>
        </w:rPr>
        <w:t>rczenia oprogramowania komercyjnego spełniającego wymogi określone w pkt 2.8 OPZ? W jakiej pozycji należy uwzględnić wynagrodzenie z tego tytułu?</w:t>
      </w:r>
    </w:p>
    <w:p w14:paraId="6DAD9B49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382B3921" w14:textId="77777777" w:rsidR="006C6435" w:rsidRDefault="00742F48">
      <w:pPr>
        <w:pStyle w:val="xmsonormal"/>
        <w:ind w:firstLine="1"/>
        <w:jc w:val="both"/>
      </w:pPr>
      <w:r>
        <w:rPr>
          <w:rFonts w:eastAsia="Times New Roman" w:cs="Calibri"/>
          <w:i/>
          <w:shd w:val="clear" w:color="auto" w:fill="C0C0C0"/>
          <w:lang w:eastAsia="en-US"/>
        </w:rPr>
        <w:t>Wykonawca zapewni ochronę urządzeń mobilnych (karty voice z dostępem do internetu oraz karty do in</w:t>
      </w:r>
      <w:r>
        <w:rPr>
          <w:rFonts w:eastAsia="Times New Roman" w:cs="Calibri"/>
          <w:i/>
          <w:shd w:val="clear" w:color="auto" w:fill="C0C0C0"/>
          <w:lang w:eastAsia="en-US"/>
        </w:rPr>
        <w:t>ternetu),  będzie informował o wykrytych próbach komunikacji ze stronami stanowiącymi zagrożenie dla sieci mobilnej i blokował komunikację  urządzeń, ze stronami, które stanowią zagrożenie. Informację o zagrożeniach będzie wysyłał pod wskazany adres e – ma</w:t>
      </w:r>
      <w:r>
        <w:rPr>
          <w:rFonts w:eastAsia="Times New Roman" w:cs="Calibri"/>
          <w:i/>
          <w:shd w:val="clear" w:color="auto" w:fill="C0C0C0"/>
          <w:lang w:eastAsia="en-US"/>
        </w:rPr>
        <w:t>il przedstawiciela Zamawiającego.</w:t>
      </w:r>
    </w:p>
    <w:p w14:paraId="6D3B7955" w14:textId="77777777" w:rsidR="006C6435" w:rsidRDefault="00742F48">
      <w:pPr>
        <w:pStyle w:val="xmsonormal"/>
        <w:shd w:val="clear" w:color="auto" w:fill="FFFFFF"/>
        <w:spacing w:before="120"/>
        <w:jc w:val="both"/>
      </w:pPr>
      <w:r>
        <w:rPr>
          <w:rFonts w:eastAsia="Times New Roman" w:cs="Calibri"/>
          <w:i/>
          <w:shd w:val="clear" w:color="auto" w:fill="C0C0C0"/>
          <w:lang w:eastAsia="en-US"/>
        </w:rPr>
        <w:lastRenderedPageBreak/>
        <w:t>Wynagrodzenie z tego tytułu należy uwzględnić w załączniku nr 2 Formularz przedmiotowo – cenowy, pozycja 21.</w:t>
      </w:r>
    </w:p>
    <w:p w14:paraId="1DAAA39F" w14:textId="77777777" w:rsidR="006C6435" w:rsidRDefault="00742F48">
      <w:pPr>
        <w:pStyle w:val="Akapitzlist"/>
        <w:overflowPunct w:val="0"/>
        <w:autoSpaceDE w:val="0"/>
        <w:spacing w:before="120" w:after="120" w:line="280" w:lineRule="exact"/>
        <w:ind w:left="0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5</w:t>
      </w:r>
    </w:p>
    <w:p w14:paraId="3653DA69" w14:textId="77777777" w:rsidR="006C6435" w:rsidRDefault="00742F48">
      <w:pPr>
        <w:pStyle w:val="Standard"/>
        <w:spacing w:after="120" w:line="247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en-US"/>
        </w:rPr>
        <w:t>Wykonawca zwraca uwagę, iż obecnie obowiązuje nowe Rozporządzenie Ministra Cyfryzacji              z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dnia 11 grudnia 2018 r.  w sprawie warunków korzystania z uprawnień w publicznych sieciach telefonicznych (Dz. U. z 2018 r. poz. 2324), które dopuszcza  przerwę w świadczeniu usług  telekomunikacyjnych  pomiędzy godziną 0:00 a godziną 06:00. Wykonawca wno</w:t>
      </w:r>
      <w:r>
        <w:rPr>
          <w:rFonts w:ascii="Calibri" w:eastAsia="Times New Roman" w:hAnsi="Calibri" w:cs="Calibri"/>
          <w:sz w:val="22"/>
          <w:szCs w:val="22"/>
          <w:lang w:eastAsia="en-US"/>
        </w:rPr>
        <w:t>si                         o modyfikację zapisów SIWZ, tak aby przeniesienie nastąpiło zgodnie z treścią aktualnego  rozporządzenia wskazanego powyżej.</w:t>
      </w:r>
    </w:p>
    <w:p w14:paraId="49EECB35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68F67AA8" w14:textId="77777777" w:rsidR="006C6435" w:rsidRDefault="00742F48">
      <w:pPr>
        <w:pStyle w:val="Akapitzlist"/>
        <w:spacing w:line="280" w:lineRule="exact"/>
        <w:ind w:left="0"/>
        <w:jc w:val="both"/>
      </w:pPr>
      <w:r>
        <w:rPr>
          <w:rFonts w:ascii="Calibri" w:eastAsia="Times New Roman" w:hAnsi="Calibri" w:cs="Calibri"/>
          <w:i/>
          <w:sz w:val="22"/>
          <w:szCs w:val="22"/>
          <w:shd w:val="clear" w:color="auto" w:fill="C0C0C0"/>
          <w:lang w:eastAsia="en-US"/>
        </w:rPr>
        <w:t>Tak Zamawiający zmodyfikuje zapisy w szczegółowym opisie usługi</w:t>
      </w:r>
    </w:p>
    <w:p w14:paraId="52CC6708" w14:textId="77777777" w:rsidR="006C6435" w:rsidRDefault="00742F48">
      <w:pPr>
        <w:widowControl/>
        <w:overflowPunct w:val="0"/>
        <w:autoSpaceDE w:val="0"/>
        <w:spacing w:before="120" w:after="120" w:line="280" w:lineRule="exact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6</w:t>
      </w:r>
    </w:p>
    <w:p w14:paraId="06997C3F" w14:textId="77777777" w:rsidR="006C6435" w:rsidRDefault="00742F48">
      <w:pPr>
        <w:pStyle w:val="Standard"/>
        <w:spacing w:after="120" w:line="247" w:lineRule="auto"/>
        <w:jc w:val="both"/>
      </w:pP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W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związku z treścią formularza ofertowego, Wykonawca wnosi o wyjaśnienie czy zastrzeżenie w pkt 1 (2zł) odnosi się do kosztu abonamentu czy tez do pakietu internetowego?</w:t>
      </w:r>
    </w:p>
    <w:p w14:paraId="4940244C" w14:textId="77777777" w:rsidR="006C6435" w:rsidRDefault="00742F48">
      <w:pPr>
        <w:pStyle w:val="Akapitzlist"/>
        <w:overflowPunct w:val="0"/>
        <w:autoSpaceDE w:val="0"/>
        <w:spacing w:after="120" w:line="280" w:lineRule="exact"/>
        <w:ind w:left="0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3CBD6647" w14:textId="77777777" w:rsidR="006C6435" w:rsidRDefault="00742F48">
      <w:pPr>
        <w:pStyle w:val="xmsonormal"/>
        <w:shd w:val="clear" w:color="auto" w:fill="FFFFFF"/>
        <w:spacing w:before="120"/>
        <w:jc w:val="both"/>
      </w:pPr>
      <w:r>
        <w:rPr>
          <w:rFonts w:eastAsia="Times New Roman" w:cs="Calibri"/>
          <w:i/>
          <w:shd w:val="clear" w:color="auto" w:fill="C0C0C0"/>
          <w:lang w:eastAsia="en-US"/>
        </w:rPr>
        <w:t xml:space="preserve">Koszt abonamentu z wliczonym pakietem internetowym jako całość – opłata nie </w:t>
      </w:r>
      <w:r>
        <w:rPr>
          <w:rFonts w:eastAsia="Times New Roman" w:cs="Calibri"/>
          <w:i/>
          <w:shd w:val="clear" w:color="auto" w:fill="C0C0C0"/>
          <w:lang w:eastAsia="en-US"/>
        </w:rPr>
        <w:t>wyższa niż                  2 złote.</w:t>
      </w:r>
    </w:p>
    <w:p w14:paraId="4909967F" w14:textId="77777777" w:rsidR="006C6435" w:rsidRDefault="00742F48">
      <w:pPr>
        <w:widowControl/>
        <w:overflowPunct w:val="0"/>
        <w:autoSpaceDE w:val="0"/>
        <w:spacing w:before="120" w:after="120" w:line="280" w:lineRule="exact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7</w:t>
      </w:r>
    </w:p>
    <w:p w14:paraId="0FDF64C6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Wykonawca prosi o potwierdzenie, że w przypadku wyboru oferty Wykonawcy prowadzącego działalność w formie spółki akcyjnej, część komparycyjna Umowy będzie obejmować wszelkie dane wymagane przez  art. 374 § 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1 Ksh</w:t>
      </w:r>
    </w:p>
    <w:p w14:paraId="0829C338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bookmarkStart w:id="0" w:name="_Hlk63688217"/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4532F32A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</w:pP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TAK, w przypadku wyboru oferty Wykonawcy prowadzącego działalność w formie spółki akcyjnej, część komparycyjna Umowy będzie obejmować wszelkie dane wymagane przez art. 374 § 1 Ksh.</w:t>
      </w:r>
    </w:p>
    <w:p w14:paraId="4EA77876" w14:textId="77777777" w:rsidR="006C6435" w:rsidRDefault="00742F48">
      <w:pPr>
        <w:widowControl/>
        <w:overflowPunct w:val="0"/>
        <w:autoSpaceDE w:val="0"/>
        <w:spacing w:before="120" w:after="120" w:line="280" w:lineRule="exact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bookmarkStart w:id="1" w:name="_Hlk63421456"/>
      <w:bookmarkEnd w:id="0"/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8</w:t>
      </w:r>
    </w:p>
    <w:bookmarkEnd w:id="1"/>
    <w:p w14:paraId="09C5176B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Wykonawca zwraca się do 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Zamawiającego o modyfikację zapisu § 7 ust.4 Umowy – wskazującego, że - Zapłata kary umownej nie wyłącza dalej idących </w:t>
      </w:r>
      <w:bookmarkStart w:id="2" w:name="_Hlk63688144"/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roszczeń z tytułu niewykonania lub nienależytego wykonania przedmiotu umowy.</w:t>
      </w:r>
    </w:p>
    <w:bookmarkEnd w:id="2"/>
    <w:p w14:paraId="69202176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W świetle przedstawionej regulacji Wykonawca zwraca się o uz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upełnienie zapisu poprzez wskazanie, że łączna wysokość odszkodowania z tytułu roszczeń wraz z naliczonymi karami nie przekroczy całkowitej wartości umowy. Zwrócić należy uwagę, że wskazanie maksymalnej wysokości odszkodowania umożliwia oszacowanie ryzyka 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kontraktowego związanego z realizacją umowy.</w:t>
      </w:r>
    </w:p>
    <w:p w14:paraId="10B0918C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60CC6DFE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</w:pP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Ze względu na obowiązek zachowania dyscypliny finansów publicznych  - ograniczenie wysokości ewentualnego odszkodowania z tytułu niewykonania lub nienależytego wykonania przedmiotu umowy  nie jest mo</w:t>
      </w: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żliwe. Za dopuszczalne należy uznać ograniczenie całkowitej  wysokości kar umownych do wartości umowy brutto.</w:t>
      </w:r>
    </w:p>
    <w:p w14:paraId="1DA483B7" w14:textId="77777777" w:rsidR="006C6435" w:rsidRDefault="00742F48">
      <w:pPr>
        <w:widowControl/>
        <w:overflowPunct w:val="0"/>
        <w:autoSpaceDE w:val="0"/>
        <w:spacing w:before="120"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9</w:t>
      </w:r>
    </w:p>
    <w:p w14:paraId="4B5DC02C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Wykonawca zwraca się z prośbą o ujednolicenie i zastąpienie w postanowieniach § 7 ust.1 pkt 2 umowy terminu „opóźnienie” wyrażeniem „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zwłoka”. Uzasadnieniem dla takiej zmiany jest potrzeba wykluczenia interpretacji, iż Wykonawca będzie obciążony obowiązkiem zapłaty kar umownych nawet w sytuacji, gdyby niewykonanie lub nienależyte wykonanie Umowy nastąpiło wskutek okoliczności niezależnyc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h od Wykonawcy  (np. bezprawnych działań lub zaniechań osób trzecich).</w:t>
      </w:r>
    </w:p>
    <w:p w14:paraId="66A236C4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lastRenderedPageBreak/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781BF4C9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Taka zmiana jest dopuszczalna. Za taką możliwością  przemawiają również uregulowania nowej ustawy PZP, która w klauzulach abuzywnych przewiduje wyłącznie odpowiedzialność wy</w:t>
      </w: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konawcy za zwłokę w wykonaniu przedmiotu umowy.</w:t>
      </w:r>
    </w:p>
    <w:p w14:paraId="638ABF53" w14:textId="77777777" w:rsidR="006C6435" w:rsidRDefault="00742F48">
      <w:pPr>
        <w:widowControl/>
        <w:overflowPunct w:val="0"/>
        <w:autoSpaceDE w:val="0"/>
        <w:spacing w:before="120"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10</w:t>
      </w:r>
    </w:p>
    <w:p w14:paraId="5CDABA2D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Wykonawca zwraca się z pytaniem czy możliwym jest uzupełnienie treści postanowień Umowy o zapis, zgodnie 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br/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z którym: „Całkowita suma kar umownych, naliczonych na podstawie § 7 ust.1pkt 1,2 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umowy nie przekroczy 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br/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w całym okresie obowiązywania umowy 20 % wartości łącznego wynagrodzenia brutto określonego w Umowie”?</w:t>
      </w:r>
    </w:p>
    <w:p w14:paraId="4E25472F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Określenie wysokości kar umownych stwarza Wykonawcy możliwość oceny ryzyka kontraktowego związanego 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br/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z realizacją umowy. Z uwagi na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 okoliczność, że funkcją kary umownej jest zabezpieczenie terminowego 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br/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i należytego wykonania prac, a więc z tego względu kary umowne  nie powinny być nadmiernym i nieuzasadnionym obciążeniem. </w:t>
      </w:r>
      <w:bookmarkStart w:id="3" w:name="_Hlk63687996"/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Wykonawca proponuje zatem ograniczenie całkowitej wysokości kar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 umownych do 20 % wartości Umowy brutto. </w:t>
      </w:r>
      <w:bookmarkEnd w:id="3"/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W sytuacji gdyby jednak Zamawiający nie podzielił stanowiska Wykonawcy i nie uwzględnił ograniczenia całkowitej wysokości kar umownych do proponowanej wysokości, Wykonawca zwraca się o wskazanie i rozważenie innej w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artości procentowej.</w:t>
      </w:r>
    </w:p>
    <w:p w14:paraId="0728B310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3F6A3040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 xml:space="preserve">Ze względu na obowiązek zachowania dyscypliny finansów publicznych  - ograniczenie wysokości ewentualnego odszkodowania z tytułu niewykonania lub nienależytego wykonania przedmiotu umowy  nie jest możliwe. Za </w:t>
      </w: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dopuszczalne należy uznać ograniczenie całkowitej  wysokości kar umownych do 40 % lub 50%  wartości umowy brutto.</w:t>
      </w:r>
    </w:p>
    <w:p w14:paraId="67C9CD02" w14:textId="77777777" w:rsidR="006C6435" w:rsidRDefault="00742F48">
      <w:pPr>
        <w:widowControl/>
        <w:overflowPunct w:val="0"/>
        <w:autoSpaceDE w:val="0"/>
        <w:spacing w:before="120"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11</w:t>
      </w:r>
    </w:p>
    <w:p w14:paraId="43CAA3B0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Zgodnie z treścią § 7 ust.3 umowy - Kary, o których mowa w ust. 1 i 2 płatne są w terminie 14 dni od dnia otrzymania przez Wykon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awcę wezwania do ich zapłaty. Kary umowne mogą być potrącane z bieżącej należności Wykonawcy, na co Wykonawca niniejszym wyraża zgodę. W celu uniknięcia w tym zakresie nieporozumień Wykonawca wnosi o potwierdzenie, że ewentualne naliczenie i potrącenie  ka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r umownych poprzedzone zostanie postępowaniem, które potwierdzi prawidłowość naliczania kar umownych. Powyższe wynika z okoliczności, że kara umowna powinna przysługiwać Zamawiającemu tylko i wyłącznie w przypadku, gdy niewykonanie lub nienależyte wykonani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e zobowiązania nastąpiło z winy Wykonawcy, co w praktyce oznacza konieczność istnienia procedury, w toku której Strony mają możliwość przedstawienia swojego stanowiska.</w:t>
      </w:r>
    </w:p>
    <w:p w14:paraId="4FF6683C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3B09A2B5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Zamawiający potwierdza, że ewentualne naliczenie i potrącenie  kar umownych</w:t>
      </w: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 xml:space="preserve"> poprzedzone zostanie postępowaniem, które potwierdzi prawidłowość naliczania kar umownych</w:t>
      </w:r>
      <w:r>
        <w:rPr>
          <w:rFonts w:ascii="Helvetica 45 Light" w:eastAsia="Times New Roman" w:hAnsi="Helvetica 45 Light" w:cs="Helvetica 45 Light"/>
          <w:bCs/>
          <w:color w:val="0070C0"/>
          <w:sz w:val="20"/>
          <w:szCs w:val="20"/>
          <w:shd w:val="clear" w:color="auto" w:fill="C0C0C0"/>
          <w:lang w:eastAsia="zh-CN"/>
        </w:rPr>
        <w:t>.</w:t>
      </w:r>
    </w:p>
    <w:p w14:paraId="7BB3DC95" w14:textId="77777777" w:rsidR="006C6435" w:rsidRDefault="00742F48">
      <w:pPr>
        <w:widowControl/>
        <w:overflowPunct w:val="0"/>
        <w:autoSpaceDE w:val="0"/>
        <w:spacing w:before="120"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Pytanie nr 12</w:t>
      </w:r>
    </w:p>
    <w:p w14:paraId="3E22305F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  <w:rPr>
          <w:rFonts w:ascii="Helvetica 45 Light" w:eastAsia="Times New Roman" w:hAnsi="Helvetica 45 Light" w:cs="Helvetica 45 Light"/>
          <w:b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sz w:val="20"/>
          <w:szCs w:val="20"/>
          <w:lang w:eastAsia="zh-CN"/>
        </w:rPr>
        <w:t>Paragraf 4 Pt 2</w:t>
      </w:r>
    </w:p>
    <w:p w14:paraId="40A68A3F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 xml:space="preserve">Wnosimy o zmianę zgodnie z którą termin płatności za fakturę to 30 dni od dnia wystawienia faktury przez Wykonawcę, a nie od dni 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jej otrzymania przez Zamawiającego.</w:t>
      </w:r>
    </w:p>
    <w:p w14:paraId="501275A4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bookmarkStart w:id="4" w:name="_Hlk63951272"/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bookmarkEnd w:id="4"/>
    <w:p w14:paraId="6F37FDDA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Zamawiający nie wyraża zgody.</w:t>
      </w:r>
    </w:p>
    <w:p w14:paraId="521275E7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</w:pPr>
      <w:r>
        <w:rPr>
          <w:rFonts w:ascii="Helvetica 45 Light" w:eastAsia="Times New Roman" w:hAnsi="Helvetica 45 Light" w:cs="Helvetica 45 Light"/>
          <w:b/>
          <w:bCs/>
          <w:sz w:val="20"/>
          <w:szCs w:val="20"/>
          <w:lang w:eastAsia="zh-CN"/>
        </w:rPr>
        <w:t>Paragraf 7</w:t>
      </w:r>
    </w:p>
    <w:p w14:paraId="2941F35D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lastRenderedPageBreak/>
        <w:t>Wnosimy o doprecyzowanie iż naliczanie kar może nastąpić po zakończeniu procedury reklamacyjnej. Postępowania reklamacyjne wynikłe w toku realizacji umowy będą prowadz</w:t>
      </w:r>
      <w:r>
        <w:rPr>
          <w:rFonts w:ascii="Helvetica 45 Light" w:eastAsia="Times New Roman" w:hAnsi="Helvetica 45 Light" w:cs="Helvetica 45 Light"/>
          <w:bCs/>
          <w:sz w:val="20"/>
          <w:szCs w:val="20"/>
          <w:lang w:eastAsia="zh-CN"/>
        </w:rPr>
        <w:t>one na zasadach i warunkach określonych w Rozporządzeniu Ministra Administracji i Cyfryzacji z dnia 24 lutego 2014 r. w sprawie reklamacji usług telekomunikacyjnych (Dz. U. poz. 284).</w:t>
      </w:r>
    </w:p>
    <w:p w14:paraId="62220575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/>
          <w:iCs/>
          <w:sz w:val="20"/>
          <w:szCs w:val="20"/>
          <w:shd w:val="clear" w:color="auto" w:fill="C0C0C0"/>
          <w:lang w:eastAsia="zh-CN"/>
        </w:rPr>
        <w:t>Odpowiedź:</w:t>
      </w:r>
      <w:r>
        <w:rPr>
          <w:rFonts w:ascii="Helvetica 45 Light" w:eastAsia="Times New Roman" w:hAnsi="Helvetica 45 Light" w:cs="Helvetica 45 Light"/>
          <w:b/>
          <w:i/>
          <w:sz w:val="20"/>
          <w:szCs w:val="20"/>
          <w:shd w:val="clear" w:color="auto" w:fill="C0C0C0"/>
          <w:lang w:eastAsia="zh-CN"/>
        </w:rPr>
        <w:t xml:space="preserve"> </w:t>
      </w:r>
    </w:p>
    <w:p w14:paraId="4E384F11" w14:textId="77777777" w:rsidR="006C6435" w:rsidRDefault="00742F48">
      <w:pPr>
        <w:widowControl/>
        <w:overflowPunct w:val="0"/>
        <w:autoSpaceDE w:val="0"/>
        <w:spacing w:after="120" w:line="280" w:lineRule="exact"/>
        <w:jc w:val="both"/>
      </w:pP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Zamawiający potwierdza, że ewentualne naliczenie i potrąceni</w:t>
      </w:r>
      <w:r>
        <w:rPr>
          <w:rFonts w:ascii="Helvetica 45 Light" w:eastAsia="Times New Roman" w:hAnsi="Helvetica 45 Light" w:cs="Helvetica 45 Light"/>
          <w:bCs/>
          <w:i/>
          <w:sz w:val="20"/>
          <w:szCs w:val="20"/>
          <w:shd w:val="clear" w:color="auto" w:fill="C0C0C0"/>
          <w:lang w:eastAsia="zh-CN"/>
        </w:rPr>
        <w:t>e  kar umownych poprzedzone zostanie postępowaniem, które potwierdzi prawidłowość naliczania kar umownych</w:t>
      </w:r>
      <w:r>
        <w:rPr>
          <w:rFonts w:ascii="Helvetica 45 Light" w:eastAsia="Times New Roman" w:hAnsi="Helvetica 45 Light" w:cs="Helvetica 45 Light"/>
          <w:bCs/>
          <w:color w:val="0070C0"/>
          <w:sz w:val="20"/>
          <w:szCs w:val="20"/>
          <w:shd w:val="clear" w:color="auto" w:fill="C0C0C0"/>
          <w:lang w:eastAsia="zh-CN"/>
        </w:rPr>
        <w:t>.</w:t>
      </w:r>
    </w:p>
    <w:p w14:paraId="613E18CA" w14:textId="77777777" w:rsidR="006C6435" w:rsidRDefault="006C6435">
      <w:pPr>
        <w:pStyle w:val="Standard"/>
      </w:pPr>
    </w:p>
    <w:p w14:paraId="2649E084" w14:textId="77777777" w:rsidR="006C6435" w:rsidRDefault="006C6435">
      <w:pPr>
        <w:pStyle w:val="Standard"/>
      </w:pPr>
    </w:p>
    <w:p w14:paraId="7B36E757" w14:textId="77777777" w:rsidR="006C6435" w:rsidRDefault="006C6435">
      <w:pPr>
        <w:pStyle w:val="Standard"/>
      </w:pPr>
    </w:p>
    <w:p w14:paraId="0455E813" w14:textId="77777777" w:rsidR="006C6435" w:rsidRDefault="006C6435">
      <w:pPr>
        <w:pStyle w:val="Standard"/>
      </w:pPr>
    </w:p>
    <w:sectPr w:rsidR="006C6435">
      <w:pgSz w:w="11906" w:h="16838"/>
      <w:pgMar w:top="1135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05EA" w14:textId="77777777" w:rsidR="00000000" w:rsidRDefault="00742F48">
      <w:pPr>
        <w:spacing w:after="0" w:line="240" w:lineRule="auto"/>
      </w:pPr>
      <w:r>
        <w:separator/>
      </w:r>
    </w:p>
  </w:endnote>
  <w:endnote w:type="continuationSeparator" w:id="0">
    <w:p w14:paraId="6CB50E9C" w14:textId="77777777" w:rsidR="00000000" w:rsidRDefault="0074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45 Ligh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D0EE" w14:textId="77777777" w:rsidR="00000000" w:rsidRDefault="00742F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52E310" w14:textId="77777777" w:rsidR="00000000" w:rsidRDefault="0074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4F86"/>
    <w:multiLevelType w:val="multilevel"/>
    <w:tmpl w:val="F984FF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6435"/>
    <w:rsid w:val="006C6435"/>
    <w:rsid w:val="007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2EFE"/>
  <w15:docId w15:val="{117C1FBD-4B83-4442-A087-EE877F9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xmsonormal">
    <w:name w:val="x_msonormal"/>
    <w:basedOn w:val="Standard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7685</Characters>
  <Application>Microsoft Office Word</Application>
  <DocSecurity>0</DocSecurity>
  <Lines>64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Kubański</dc:creator>
  <cp:lastModifiedBy>Paulina Jędrzejczyk</cp:lastModifiedBy>
  <cp:revision>2</cp:revision>
  <dcterms:created xsi:type="dcterms:W3CDTF">2021-02-11T15:01:00Z</dcterms:created>
  <dcterms:modified xsi:type="dcterms:W3CDTF">2021-02-11T15:01:00Z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Polkomtel S.A.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