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D62AE" w14:textId="77777777" w:rsidR="004B2C26" w:rsidRPr="001469C7" w:rsidRDefault="004B2C26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p w14:paraId="5FFF8ACB" w14:textId="77777777" w:rsidR="00700FA8" w:rsidRPr="001469C7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1469C7">
        <w:rPr>
          <w:rFonts w:ascii="Cambria" w:hAnsi="Cambria"/>
          <w:b/>
          <w:bCs/>
          <w:noProof/>
          <w:sz w:val="20"/>
          <w:szCs w:val="20"/>
        </w:rPr>
        <w:t>FORMULARZ PRZEDMIOTOWY</w:t>
      </w:r>
    </w:p>
    <w:p w14:paraId="697C88ED" w14:textId="77777777" w:rsidR="008C1D47" w:rsidRPr="001469C7" w:rsidRDefault="008C1D47" w:rsidP="005D27FA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4031"/>
        <w:gridCol w:w="3778"/>
      </w:tblGrid>
      <w:tr w:rsidR="001469C7" w:rsidRPr="001469C7" w14:paraId="47F73B82" w14:textId="77777777" w:rsidTr="001469C7">
        <w:trPr>
          <w:trHeight w:val="708"/>
        </w:trPr>
        <w:tc>
          <w:tcPr>
            <w:tcW w:w="705" w:type="pct"/>
            <w:shd w:val="clear" w:color="auto" w:fill="D5DCE4" w:themeFill="text2" w:themeFillTint="33"/>
          </w:tcPr>
          <w:p w14:paraId="10223BF6" w14:textId="77777777" w:rsidR="001469C7" w:rsidRPr="001469C7" w:rsidRDefault="001469C7" w:rsidP="001469C7">
            <w:pPr>
              <w:spacing w:after="200" w:line="240" w:lineRule="auto"/>
              <w:rPr>
                <w:rFonts w:ascii="Cambria" w:eastAsia="Calibri" w:hAnsi="Cambria"/>
                <w:sz w:val="20"/>
                <w:lang w:val="en-US" w:eastAsia="en-US"/>
              </w:rPr>
            </w:pPr>
            <w:r w:rsidRPr="001469C7">
              <w:rPr>
                <w:rFonts w:ascii="Cambria" w:eastAsia="Calibri" w:hAnsi="Cambria"/>
                <w:b/>
                <w:sz w:val="20"/>
                <w:lang w:eastAsia="en-US"/>
              </w:rPr>
              <w:t>Element konfiguracji</w:t>
            </w:r>
          </w:p>
        </w:tc>
        <w:tc>
          <w:tcPr>
            <w:tcW w:w="2216" w:type="pct"/>
            <w:shd w:val="clear" w:color="auto" w:fill="D5DCE4" w:themeFill="text2" w:themeFillTint="33"/>
          </w:tcPr>
          <w:p w14:paraId="0C631460" w14:textId="77777777" w:rsidR="001469C7" w:rsidRPr="001469C7" w:rsidRDefault="001469C7" w:rsidP="001469C7">
            <w:pPr>
              <w:spacing w:after="200" w:line="240" w:lineRule="auto"/>
              <w:rPr>
                <w:rFonts w:ascii="Cambria" w:eastAsia="Calibri" w:hAnsi="Cambria"/>
                <w:sz w:val="20"/>
                <w:lang w:eastAsia="en-US"/>
              </w:rPr>
            </w:pPr>
            <w:r w:rsidRPr="001469C7">
              <w:rPr>
                <w:rFonts w:ascii="Cambria" w:eastAsia="Calibri" w:hAnsi="Cambria"/>
                <w:b/>
                <w:sz w:val="20"/>
                <w:lang w:eastAsia="en-US"/>
              </w:rPr>
              <w:t>Parametry techniczne sprzętu wymagane przez  Zamawiającego (opis przedmiotu zamówienia)</w:t>
            </w:r>
          </w:p>
        </w:tc>
        <w:tc>
          <w:tcPr>
            <w:tcW w:w="2079" w:type="pct"/>
            <w:shd w:val="clear" w:color="auto" w:fill="D5DCE4" w:themeFill="text2" w:themeFillTint="33"/>
          </w:tcPr>
          <w:p w14:paraId="50116FB4" w14:textId="77777777" w:rsidR="001469C7" w:rsidRPr="001469C7" w:rsidRDefault="001469C7" w:rsidP="001469C7">
            <w:pPr>
              <w:spacing w:after="200" w:line="240" w:lineRule="auto"/>
              <w:rPr>
                <w:rFonts w:ascii="Cambria" w:eastAsia="Calibri" w:hAnsi="Cambria"/>
                <w:sz w:val="20"/>
                <w:lang w:eastAsia="en-US"/>
              </w:rPr>
            </w:pPr>
            <w:r w:rsidRPr="001469C7">
              <w:rPr>
                <w:rFonts w:ascii="Cambria" w:eastAsia="Calibri" w:hAnsi="Cambria"/>
                <w:b/>
                <w:sz w:val="20"/>
                <w:lang w:eastAsia="en-US"/>
              </w:rPr>
              <w:t>Parametry techniczne sprzętu oferowane przez  Wykonawcę (opis oferowanego sprzętu)</w:t>
            </w:r>
          </w:p>
        </w:tc>
      </w:tr>
      <w:tr w:rsidR="001469C7" w:rsidRPr="001469C7" w14:paraId="43290C6A" w14:textId="77777777" w:rsidTr="0088341D">
        <w:trPr>
          <w:trHeight w:val="395"/>
        </w:trPr>
        <w:tc>
          <w:tcPr>
            <w:tcW w:w="705" w:type="pct"/>
            <w:shd w:val="clear" w:color="auto" w:fill="auto"/>
          </w:tcPr>
          <w:p w14:paraId="72B2D260" w14:textId="77777777" w:rsidR="001469C7" w:rsidRPr="001469C7" w:rsidRDefault="001469C7" w:rsidP="00E97F70">
            <w:pPr>
              <w:spacing w:after="200" w:line="276" w:lineRule="auto"/>
              <w:rPr>
                <w:rFonts w:ascii="Cambria" w:eastAsia="Calibri" w:hAnsi="Cambria"/>
                <w:b/>
                <w:sz w:val="20"/>
                <w:lang w:eastAsia="en-US"/>
              </w:rPr>
            </w:pPr>
            <w:r w:rsidRPr="001469C7">
              <w:rPr>
                <w:rFonts w:ascii="Cambria" w:eastAsia="Calibri" w:hAnsi="Cambria"/>
                <w:b/>
                <w:sz w:val="20"/>
                <w:lang w:eastAsia="en-US"/>
              </w:rPr>
              <w:t>Zastosowanie</w:t>
            </w:r>
          </w:p>
        </w:tc>
        <w:tc>
          <w:tcPr>
            <w:tcW w:w="4295" w:type="pct"/>
            <w:gridSpan w:val="2"/>
            <w:shd w:val="clear" w:color="auto" w:fill="auto"/>
          </w:tcPr>
          <w:p w14:paraId="513D9925" w14:textId="77777777" w:rsidR="001469C7" w:rsidRPr="001469C7" w:rsidRDefault="001469C7" w:rsidP="00E97F70">
            <w:pPr>
              <w:spacing w:after="200" w:line="276" w:lineRule="auto"/>
              <w:rPr>
                <w:rFonts w:ascii="Cambria" w:eastAsia="Calibri" w:hAnsi="Cambria"/>
                <w:b/>
                <w:sz w:val="20"/>
                <w:lang w:eastAsia="en-US"/>
              </w:rPr>
            </w:pPr>
            <w:r w:rsidRPr="001469C7">
              <w:rPr>
                <w:rFonts w:ascii="Cambria" w:eastAsia="Calibri" w:hAnsi="Cambria"/>
                <w:b/>
                <w:sz w:val="20"/>
                <w:lang w:eastAsia="en-US"/>
              </w:rPr>
              <w:t>Analiza struktur DNA, parametrów biofizycznych białek</w:t>
            </w:r>
          </w:p>
        </w:tc>
      </w:tr>
      <w:tr w:rsidR="001469C7" w:rsidRPr="001469C7" w14:paraId="47367E87" w14:textId="77777777" w:rsidTr="001469C7">
        <w:trPr>
          <w:trHeight w:val="2433"/>
        </w:trPr>
        <w:tc>
          <w:tcPr>
            <w:tcW w:w="2921" w:type="pct"/>
            <w:gridSpan w:val="2"/>
            <w:shd w:val="clear" w:color="auto" w:fill="auto"/>
          </w:tcPr>
          <w:p w14:paraId="18CE0E89" w14:textId="411CBCE2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b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b/>
                <w:sz w:val="20"/>
                <w:lang w:eastAsia="zh-CN"/>
              </w:rPr>
              <w:t xml:space="preserve">Pozycja </w:t>
            </w:r>
            <w:r w:rsidR="0037158A">
              <w:rPr>
                <w:rFonts w:ascii="Cambria" w:eastAsia="Calibri" w:hAnsi="Cambria" w:cs="Tahoma"/>
                <w:b/>
                <w:sz w:val="20"/>
                <w:lang w:eastAsia="zh-CN"/>
              </w:rPr>
              <w:t>I</w:t>
            </w:r>
            <w:r w:rsidRPr="001469C7">
              <w:rPr>
                <w:rFonts w:ascii="Cambria" w:eastAsia="Calibri" w:hAnsi="Cambria" w:cs="Tahoma"/>
                <w:b/>
                <w:sz w:val="20"/>
                <w:lang w:eastAsia="zh-CN"/>
              </w:rPr>
              <w:t>: Typ</w:t>
            </w:r>
          </w:p>
          <w:p w14:paraId="341050F2" w14:textId="77777777" w:rsidR="001469C7" w:rsidRPr="0037158A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ar-SA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Analizator białek i struktur DNA</w:t>
            </w:r>
          </w:p>
        </w:tc>
        <w:tc>
          <w:tcPr>
            <w:tcW w:w="2079" w:type="pct"/>
            <w:shd w:val="clear" w:color="auto" w:fill="auto"/>
          </w:tcPr>
          <w:p w14:paraId="47EC9F95" w14:textId="77777777" w:rsidR="001469C7" w:rsidRDefault="001469C7" w:rsidP="001469C7">
            <w:pPr>
              <w:rPr>
                <w:rFonts w:ascii="Cambria" w:hAnsi="Cambria" w:cs="Tahoma"/>
                <w:sz w:val="20"/>
                <w:u w:val="single"/>
                <w:lang w:eastAsia="ar-SA"/>
              </w:rPr>
            </w:pPr>
            <w:r>
              <w:rPr>
                <w:rFonts w:ascii="Cambria" w:hAnsi="Cambria" w:cs="Tahoma"/>
                <w:sz w:val="20"/>
                <w:u w:val="single"/>
                <w:lang w:eastAsia="ar-SA"/>
              </w:rPr>
              <w:t>Należy podać:</w:t>
            </w:r>
          </w:p>
          <w:p w14:paraId="5BB30592" w14:textId="77777777" w:rsidR="001469C7" w:rsidRDefault="001469C7" w:rsidP="001469C7">
            <w:pPr>
              <w:rPr>
                <w:rFonts w:ascii="Cambria" w:hAnsi="Cambria" w:cs="Tahoma"/>
                <w:sz w:val="20"/>
                <w:lang w:eastAsia="ar-SA"/>
              </w:rPr>
            </w:pPr>
            <w:r>
              <w:rPr>
                <w:rFonts w:ascii="Cambria" w:hAnsi="Cambria" w:cs="Tahoma"/>
                <w:sz w:val="20"/>
                <w:lang w:eastAsia="ar-SA"/>
              </w:rPr>
              <w:t>Producent:………………………….</w:t>
            </w:r>
          </w:p>
          <w:p w14:paraId="7DE9A833" w14:textId="77777777" w:rsidR="001469C7" w:rsidRDefault="001469C7" w:rsidP="001469C7">
            <w:pPr>
              <w:rPr>
                <w:rFonts w:ascii="Cambria" w:hAnsi="Cambria" w:cs="Tahoma"/>
                <w:sz w:val="20"/>
                <w:lang w:eastAsia="ar-SA"/>
              </w:rPr>
            </w:pPr>
            <w:r>
              <w:rPr>
                <w:rFonts w:ascii="Cambria" w:hAnsi="Cambria" w:cs="Tahoma"/>
                <w:sz w:val="20"/>
                <w:lang w:eastAsia="ar-SA"/>
              </w:rPr>
              <w:t>Model:……………………………….</w:t>
            </w:r>
          </w:p>
          <w:p w14:paraId="07E69787" w14:textId="77777777" w:rsidR="001469C7" w:rsidRDefault="001469C7" w:rsidP="001469C7">
            <w:pPr>
              <w:rPr>
                <w:rFonts w:ascii="Cambria" w:hAnsi="Cambria" w:cs="Tahoma"/>
                <w:sz w:val="20"/>
                <w:lang w:eastAsia="ar-SA"/>
              </w:rPr>
            </w:pPr>
            <w:r>
              <w:rPr>
                <w:rFonts w:ascii="Cambria" w:hAnsi="Cambria" w:cs="Tahoma"/>
                <w:sz w:val="20"/>
                <w:lang w:eastAsia="ar-SA"/>
              </w:rPr>
              <w:t>Typ/nr katalogowy (jeśli dotyczy)………….</w:t>
            </w:r>
          </w:p>
          <w:p w14:paraId="77B3C917" w14:textId="272E421C" w:rsidR="001469C7" w:rsidRPr="001469C7" w:rsidRDefault="001469C7" w:rsidP="00C5460C">
            <w:pPr>
              <w:spacing w:line="240" w:lineRule="auto"/>
              <w:rPr>
                <w:rFonts w:ascii="Cambria" w:eastAsia="Calibri" w:hAnsi="Cambria" w:cs="Tahoma"/>
                <w:sz w:val="20"/>
                <w:lang w:eastAsia="ar-SA"/>
              </w:rPr>
            </w:pPr>
            <w:r w:rsidRPr="005C2F18">
              <w:rPr>
                <w:rFonts w:ascii="Cambria" w:hAnsi="Cambria" w:cs="Tahoma"/>
                <w:b/>
                <w:bCs/>
                <w:color w:val="C00000"/>
                <w:sz w:val="20"/>
                <w:lang w:eastAsia="ar-SA"/>
              </w:rPr>
              <w:t>Uwaga!</w:t>
            </w:r>
            <w:r w:rsidRPr="005C2F18">
              <w:rPr>
                <w:rFonts w:ascii="Cambria" w:hAnsi="Cambria" w:cs="Tahoma"/>
                <w:color w:val="C00000"/>
                <w:sz w:val="20"/>
                <w:lang w:eastAsia="ar-SA"/>
              </w:rPr>
              <w:t xml:space="preserve"> </w:t>
            </w:r>
            <w:r w:rsidRPr="00221184">
              <w:rPr>
                <w:rFonts w:ascii="Cambria" w:hAnsi="Cambria" w:cs="Tahoma"/>
                <w:b/>
                <w:i/>
                <w:iCs/>
                <w:sz w:val="20"/>
                <w:lang w:eastAsia="ar-SA"/>
              </w:rPr>
              <w:t xml:space="preserve">Wykonawca  zobowiązany jest podać wszystkie </w:t>
            </w:r>
            <w:bookmarkStart w:id="0" w:name="_GoBack"/>
            <w:bookmarkEnd w:id="0"/>
            <w:r w:rsidRPr="00221184">
              <w:rPr>
                <w:rFonts w:ascii="Cambria" w:hAnsi="Cambria" w:cs="Tahoma"/>
                <w:b/>
                <w:i/>
                <w:iCs/>
                <w:sz w:val="20"/>
                <w:lang w:eastAsia="ar-SA"/>
              </w:rPr>
              <w:t>dane, które  pozwolą  Zamawiającemu w pełni zidentyfikować zaoferowany produkt.</w:t>
            </w:r>
            <w:r w:rsidRPr="00E46561">
              <w:rPr>
                <w:rFonts w:ascii="Cambria" w:hAnsi="Cambria" w:cs="Tahoma"/>
                <w:i/>
                <w:iCs/>
                <w:sz w:val="20"/>
                <w:lang w:eastAsia="ar-SA"/>
              </w:rPr>
              <w:t xml:space="preserve"> </w:t>
            </w:r>
          </w:p>
        </w:tc>
      </w:tr>
      <w:tr w:rsidR="001469C7" w:rsidRPr="001469C7" w14:paraId="37B4B0C3" w14:textId="77777777" w:rsidTr="001469C7">
        <w:trPr>
          <w:trHeight w:val="319"/>
        </w:trPr>
        <w:tc>
          <w:tcPr>
            <w:tcW w:w="2921" w:type="pct"/>
            <w:gridSpan w:val="2"/>
            <w:shd w:val="clear" w:color="auto" w:fill="auto"/>
          </w:tcPr>
          <w:p w14:paraId="042276FD" w14:textId="68BE5658" w:rsidR="001469C7" w:rsidRPr="001469C7" w:rsidRDefault="001469C7" w:rsidP="0037158A">
            <w:pPr>
              <w:suppressAutoHyphens/>
              <w:spacing w:after="160"/>
              <w:rPr>
                <w:rFonts w:ascii="Cambria" w:eastAsia="Calibri" w:hAnsi="Cambria" w:cs="Tahoma"/>
                <w:b/>
                <w:sz w:val="20"/>
                <w:lang w:eastAsia="zh-CN"/>
              </w:rPr>
            </w:pPr>
            <w:r>
              <w:rPr>
                <w:rFonts w:ascii="Cambria" w:eastAsia="Calibri" w:hAnsi="Cambria" w:cs="Tahoma"/>
                <w:b/>
                <w:sz w:val="20"/>
                <w:lang w:eastAsia="zh-CN"/>
              </w:rPr>
              <w:t xml:space="preserve">Pozycja </w:t>
            </w:r>
            <w:r w:rsidR="0037158A">
              <w:rPr>
                <w:rFonts w:ascii="Cambria" w:eastAsia="Calibri" w:hAnsi="Cambria" w:cs="Tahoma"/>
                <w:b/>
                <w:sz w:val="20"/>
                <w:lang w:eastAsia="zh-CN"/>
              </w:rPr>
              <w:t>II</w:t>
            </w:r>
            <w:r>
              <w:rPr>
                <w:rFonts w:ascii="Cambria" w:eastAsia="Calibri" w:hAnsi="Cambria" w:cs="Tahoma"/>
                <w:b/>
                <w:sz w:val="20"/>
                <w:lang w:eastAsia="zh-CN"/>
              </w:rPr>
              <w:t xml:space="preserve">: </w:t>
            </w:r>
            <w:r w:rsidRPr="001469C7">
              <w:rPr>
                <w:rFonts w:ascii="Cambria" w:eastAsia="Calibri" w:hAnsi="Cambria" w:cs="Tahoma"/>
                <w:b/>
                <w:sz w:val="20"/>
                <w:lang w:eastAsia="zh-CN"/>
              </w:rPr>
              <w:t>Wymagane minimalne parametry techniczne</w:t>
            </w:r>
          </w:p>
        </w:tc>
        <w:tc>
          <w:tcPr>
            <w:tcW w:w="2079" w:type="pct"/>
            <w:shd w:val="clear" w:color="auto" w:fill="auto"/>
          </w:tcPr>
          <w:p w14:paraId="393B6C40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</w:p>
        </w:tc>
      </w:tr>
      <w:tr w:rsidR="001469C7" w:rsidRPr="001469C7" w14:paraId="1036F3A1" w14:textId="77777777" w:rsidTr="00E97F70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29EDF6B1" w14:textId="77777777" w:rsidR="001469C7" w:rsidRPr="0037158A" w:rsidRDefault="001469C7" w:rsidP="0037158A">
            <w:pPr>
              <w:pStyle w:val="Akapitzlist"/>
              <w:numPr>
                <w:ilvl w:val="0"/>
                <w:numId w:val="15"/>
              </w:numPr>
              <w:suppressAutoHyphens/>
              <w:spacing w:after="160" w:line="240" w:lineRule="auto"/>
              <w:ind w:left="851" w:hanging="284"/>
              <w:jc w:val="both"/>
              <w:rPr>
                <w:rFonts w:ascii="Cambria" w:eastAsia="Calibri" w:hAnsi="Cambria"/>
                <w:sz w:val="20"/>
                <w:lang w:eastAsia="zh-CN"/>
              </w:rPr>
            </w:pPr>
            <w:r w:rsidRPr="0037158A">
              <w:rPr>
                <w:rFonts w:ascii="Cambria" w:eastAsia="Calibri" w:hAnsi="Cambria"/>
                <w:sz w:val="20"/>
                <w:lang w:eastAsia="zh-CN"/>
              </w:rPr>
              <w:t>Musi umożliwiać badanie oddziaływań</w:t>
            </w:r>
          </w:p>
          <w:p w14:paraId="291DB394" w14:textId="3E03AA04" w:rsidR="001469C7" w:rsidRPr="0037158A" w:rsidRDefault="001469C7" w:rsidP="0037158A">
            <w:pPr>
              <w:pStyle w:val="Akapitzlist"/>
              <w:numPr>
                <w:ilvl w:val="0"/>
                <w:numId w:val="16"/>
              </w:numPr>
              <w:suppressAutoHyphens/>
              <w:spacing w:after="160" w:line="240" w:lineRule="auto"/>
              <w:jc w:val="both"/>
              <w:rPr>
                <w:rFonts w:ascii="Cambria" w:eastAsia="Calibri" w:hAnsi="Cambria"/>
                <w:sz w:val="20"/>
                <w:lang w:eastAsia="zh-CN"/>
              </w:rPr>
            </w:pPr>
            <w:r w:rsidRPr="0037158A">
              <w:rPr>
                <w:rFonts w:ascii="Cambria" w:eastAsia="Calibri" w:hAnsi="Cambria"/>
                <w:sz w:val="20"/>
                <w:lang w:eastAsia="zh-CN"/>
              </w:rPr>
              <w:t>białko/białko</w:t>
            </w:r>
          </w:p>
          <w:p w14:paraId="737EEEFB" w14:textId="2D9E3033" w:rsidR="001469C7" w:rsidRPr="0037158A" w:rsidRDefault="001469C7" w:rsidP="0037158A">
            <w:pPr>
              <w:pStyle w:val="Akapitzlist"/>
              <w:numPr>
                <w:ilvl w:val="0"/>
                <w:numId w:val="16"/>
              </w:numPr>
              <w:suppressAutoHyphens/>
              <w:spacing w:after="160" w:line="240" w:lineRule="auto"/>
              <w:jc w:val="both"/>
              <w:rPr>
                <w:rFonts w:ascii="Cambria" w:eastAsia="Calibri" w:hAnsi="Cambria"/>
                <w:sz w:val="20"/>
                <w:lang w:eastAsia="zh-CN"/>
              </w:rPr>
            </w:pPr>
            <w:r w:rsidRPr="0037158A">
              <w:rPr>
                <w:rFonts w:ascii="Cambria" w:eastAsia="Calibri" w:hAnsi="Cambria"/>
                <w:sz w:val="20"/>
                <w:lang w:eastAsia="zh-CN"/>
              </w:rPr>
              <w:t>białko/DNA</w:t>
            </w:r>
          </w:p>
          <w:p w14:paraId="67A3188E" w14:textId="28ABD8B7" w:rsidR="001469C7" w:rsidRPr="0037158A" w:rsidRDefault="001469C7" w:rsidP="0037158A">
            <w:pPr>
              <w:pStyle w:val="Akapitzlist"/>
              <w:numPr>
                <w:ilvl w:val="0"/>
                <w:numId w:val="16"/>
              </w:numPr>
              <w:suppressAutoHyphens/>
              <w:spacing w:after="160" w:line="240" w:lineRule="auto"/>
              <w:jc w:val="both"/>
              <w:rPr>
                <w:rFonts w:ascii="Cambria" w:eastAsia="Calibri" w:hAnsi="Cambria"/>
                <w:sz w:val="20"/>
                <w:lang w:eastAsia="zh-CN"/>
              </w:rPr>
            </w:pPr>
            <w:r w:rsidRPr="0037158A">
              <w:rPr>
                <w:rFonts w:ascii="Cambria" w:eastAsia="Calibri" w:hAnsi="Cambria"/>
                <w:sz w:val="20"/>
                <w:lang w:eastAsia="zh-CN"/>
              </w:rPr>
              <w:t>białko/RNA</w:t>
            </w:r>
          </w:p>
          <w:p w14:paraId="76F1E5B6" w14:textId="64729046" w:rsidR="001469C7" w:rsidRPr="0037158A" w:rsidRDefault="001469C7" w:rsidP="0037158A">
            <w:pPr>
              <w:pStyle w:val="Akapitzlist"/>
              <w:numPr>
                <w:ilvl w:val="0"/>
                <w:numId w:val="16"/>
              </w:numPr>
              <w:suppressAutoHyphens/>
              <w:spacing w:after="160" w:line="240" w:lineRule="auto"/>
              <w:jc w:val="both"/>
              <w:rPr>
                <w:rFonts w:ascii="Cambria" w:eastAsia="Calibri" w:hAnsi="Cambria"/>
                <w:sz w:val="20"/>
                <w:lang w:eastAsia="zh-CN"/>
              </w:rPr>
            </w:pPr>
            <w:r w:rsidRPr="0037158A">
              <w:rPr>
                <w:rFonts w:ascii="Cambria" w:eastAsia="Calibri" w:hAnsi="Cambria"/>
                <w:sz w:val="20"/>
                <w:lang w:eastAsia="zh-CN"/>
              </w:rPr>
              <w:t>białko/małe cząsteczki</w:t>
            </w:r>
          </w:p>
          <w:p w14:paraId="39066710" w14:textId="1A15C8D7" w:rsidR="001469C7" w:rsidRPr="0037158A" w:rsidRDefault="001469C7" w:rsidP="0037158A">
            <w:pPr>
              <w:pStyle w:val="Akapitzlist"/>
              <w:numPr>
                <w:ilvl w:val="0"/>
                <w:numId w:val="16"/>
              </w:numPr>
              <w:suppressAutoHyphens/>
              <w:spacing w:after="160" w:line="240" w:lineRule="auto"/>
              <w:jc w:val="both"/>
              <w:rPr>
                <w:rFonts w:ascii="Cambria" w:eastAsia="Calibri" w:hAnsi="Cambria"/>
                <w:sz w:val="20"/>
                <w:lang w:eastAsia="zh-CN"/>
              </w:rPr>
            </w:pPr>
            <w:r w:rsidRPr="0037158A">
              <w:rPr>
                <w:rFonts w:ascii="Cambria" w:eastAsia="Calibri" w:hAnsi="Cambria"/>
                <w:sz w:val="20"/>
                <w:lang w:eastAsia="zh-CN"/>
              </w:rPr>
              <w:t>białko/peptydy</w:t>
            </w:r>
          </w:p>
          <w:p w14:paraId="45AC92AD" w14:textId="6E072210" w:rsidR="001469C7" w:rsidRPr="0037158A" w:rsidRDefault="001469C7" w:rsidP="0037158A">
            <w:pPr>
              <w:pStyle w:val="Akapitzlist"/>
              <w:numPr>
                <w:ilvl w:val="0"/>
                <w:numId w:val="16"/>
              </w:numPr>
              <w:suppressAutoHyphens/>
              <w:spacing w:after="160" w:line="240" w:lineRule="auto"/>
              <w:jc w:val="both"/>
              <w:rPr>
                <w:rFonts w:ascii="Cambria" w:eastAsia="Calibri" w:hAnsi="Cambria"/>
                <w:sz w:val="20"/>
                <w:lang w:eastAsia="zh-CN"/>
              </w:rPr>
            </w:pPr>
            <w:r w:rsidRPr="0037158A">
              <w:rPr>
                <w:rFonts w:ascii="Cambria" w:eastAsia="Calibri" w:hAnsi="Cambria"/>
                <w:sz w:val="20"/>
                <w:lang w:eastAsia="zh-CN"/>
              </w:rPr>
              <w:t>przeciwciało/antygen</w:t>
            </w:r>
          </w:p>
          <w:p w14:paraId="0883C3BA" w14:textId="22B2C2CA" w:rsidR="001469C7" w:rsidRPr="0037158A" w:rsidRDefault="001469C7" w:rsidP="0037158A">
            <w:pPr>
              <w:pStyle w:val="Akapitzlist"/>
              <w:numPr>
                <w:ilvl w:val="0"/>
                <w:numId w:val="16"/>
              </w:numPr>
              <w:suppressAutoHyphens/>
              <w:spacing w:after="160" w:line="240" w:lineRule="auto"/>
              <w:jc w:val="both"/>
              <w:rPr>
                <w:rFonts w:ascii="Cambria" w:eastAsia="Calibri" w:hAnsi="Cambria"/>
                <w:sz w:val="20"/>
                <w:lang w:eastAsia="zh-CN"/>
              </w:rPr>
            </w:pPr>
            <w:r w:rsidRPr="0037158A">
              <w:rPr>
                <w:rFonts w:ascii="Cambria" w:eastAsia="Calibri" w:hAnsi="Cambria"/>
                <w:sz w:val="20"/>
                <w:lang w:eastAsia="zh-CN"/>
              </w:rPr>
              <w:t>przeciwciała bispecyficzne i biparatopowe</w:t>
            </w:r>
          </w:p>
          <w:p w14:paraId="41F877FC" w14:textId="3EE78657" w:rsidR="001469C7" w:rsidRPr="0037158A" w:rsidRDefault="001469C7" w:rsidP="0037158A">
            <w:pPr>
              <w:pStyle w:val="Akapitzlist"/>
              <w:numPr>
                <w:ilvl w:val="0"/>
                <w:numId w:val="16"/>
              </w:numPr>
              <w:suppressAutoHyphens/>
              <w:spacing w:after="160" w:line="240" w:lineRule="auto"/>
              <w:jc w:val="both"/>
              <w:rPr>
                <w:rFonts w:ascii="Cambria" w:eastAsia="Calibri" w:hAnsi="Cambria"/>
                <w:sz w:val="20"/>
                <w:lang w:eastAsia="zh-CN"/>
              </w:rPr>
            </w:pPr>
            <w:r w:rsidRPr="0037158A">
              <w:rPr>
                <w:rFonts w:ascii="Cambria" w:eastAsia="Calibri" w:hAnsi="Cambria"/>
                <w:sz w:val="20"/>
                <w:lang w:eastAsia="zh-CN"/>
              </w:rPr>
              <w:t>VLP, liposomy i pęcherzyki lipidowe</w:t>
            </w:r>
          </w:p>
        </w:tc>
        <w:tc>
          <w:tcPr>
            <w:tcW w:w="2079" w:type="pct"/>
            <w:shd w:val="clear" w:color="auto" w:fill="auto"/>
          </w:tcPr>
          <w:p w14:paraId="741FC7F9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sz w:val="20"/>
                <w:lang w:eastAsia="zh-CN"/>
              </w:rPr>
              <w:t>Spełnia / nie spełnia*</w:t>
            </w:r>
          </w:p>
          <w:p w14:paraId="02479BF7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</w:p>
        </w:tc>
      </w:tr>
      <w:tr w:rsidR="001469C7" w:rsidRPr="001469C7" w14:paraId="754CC747" w14:textId="77777777" w:rsidTr="00E97F70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272D1101" w14:textId="77777777" w:rsidR="001469C7" w:rsidRPr="0037158A" w:rsidRDefault="001469C7" w:rsidP="0037158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851" w:hanging="284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Musi umożliwiać analizę parametrów biofizycznych białek obejmujących swym zakresem:</w:t>
            </w:r>
          </w:p>
          <w:p w14:paraId="06F20F9C" w14:textId="5E6F53EF" w:rsidR="001469C7" w:rsidRPr="0037158A" w:rsidRDefault="001469C7" w:rsidP="0037158A">
            <w:pPr>
              <w:pStyle w:val="Akapitzlist"/>
              <w:numPr>
                <w:ilvl w:val="0"/>
                <w:numId w:val="17"/>
              </w:numPr>
              <w:suppressAutoHyphens/>
              <w:spacing w:line="240" w:lineRule="auto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kinetykę enzymów</w:t>
            </w:r>
          </w:p>
          <w:p w14:paraId="0F4D88A6" w14:textId="6FF3D94E" w:rsidR="001469C7" w:rsidRPr="0037158A" w:rsidRDefault="001469C7" w:rsidP="0037158A">
            <w:pPr>
              <w:pStyle w:val="Akapitzlist"/>
              <w:numPr>
                <w:ilvl w:val="0"/>
                <w:numId w:val="17"/>
              </w:numPr>
              <w:suppressAutoHyphens/>
              <w:spacing w:after="160" w:line="240" w:lineRule="auto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powinowactwo</w:t>
            </w:r>
          </w:p>
          <w:p w14:paraId="2C800BE4" w14:textId="78E46B3C" w:rsidR="001469C7" w:rsidRPr="0037158A" w:rsidRDefault="001469C7" w:rsidP="0037158A">
            <w:pPr>
              <w:pStyle w:val="Akapitzlist"/>
              <w:numPr>
                <w:ilvl w:val="0"/>
                <w:numId w:val="17"/>
              </w:numPr>
              <w:suppressAutoHyphens/>
              <w:spacing w:after="160" w:line="240" w:lineRule="auto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termodynamikę</w:t>
            </w:r>
          </w:p>
          <w:p w14:paraId="4754FD86" w14:textId="6DF2DE32" w:rsidR="001469C7" w:rsidRPr="0037158A" w:rsidRDefault="001469C7" w:rsidP="0037158A">
            <w:pPr>
              <w:pStyle w:val="Akapitzlist"/>
              <w:numPr>
                <w:ilvl w:val="0"/>
                <w:numId w:val="17"/>
              </w:numPr>
              <w:suppressAutoHyphens/>
              <w:spacing w:after="160" w:line="240" w:lineRule="auto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zmiany konformacyjne</w:t>
            </w:r>
          </w:p>
          <w:p w14:paraId="228ED366" w14:textId="194318AE" w:rsidR="001469C7" w:rsidRPr="0037158A" w:rsidRDefault="001469C7" w:rsidP="0037158A">
            <w:pPr>
              <w:pStyle w:val="Akapitzlist"/>
              <w:numPr>
                <w:ilvl w:val="0"/>
                <w:numId w:val="17"/>
              </w:numPr>
              <w:suppressAutoHyphens/>
              <w:spacing w:after="160" w:line="240" w:lineRule="auto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temperaturę topnienia</w:t>
            </w:r>
          </w:p>
          <w:p w14:paraId="5C50C21A" w14:textId="0D6DD100" w:rsidR="001469C7" w:rsidRPr="0037158A" w:rsidRDefault="001469C7" w:rsidP="0037158A">
            <w:pPr>
              <w:pStyle w:val="Akapitzlist"/>
              <w:numPr>
                <w:ilvl w:val="0"/>
                <w:numId w:val="17"/>
              </w:numPr>
              <w:suppressAutoHyphens/>
              <w:spacing w:after="160" w:line="240" w:lineRule="auto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awidność i aktywność</w:t>
            </w:r>
          </w:p>
          <w:p w14:paraId="21333551" w14:textId="48F79888" w:rsidR="001469C7" w:rsidRPr="0037158A" w:rsidRDefault="001469C7" w:rsidP="0037158A">
            <w:pPr>
              <w:pStyle w:val="Akapitzlist"/>
              <w:numPr>
                <w:ilvl w:val="0"/>
                <w:numId w:val="17"/>
              </w:numPr>
              <w:suppressAutoHyphens/>
              <w:spacing w:after="160" w:line="240" w:lineRule="auto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zmiany konformacji oraz ładunku</w:t>
            </w:r>
          </w:p>
        </w:tc>
        <w:tc>
          <w:tcPr>
            <w:tcW w:w="2079" w:type="pct"/>
            <w:shd w:val="clear" w:color="auto" w:fill="auto"/>
          </w:tcPr>
          <w:p w14:paraId="44911E0C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sz w:val="20"/>
                <w:lang w:eastAsia="zh-CN"/>
              </w:rPr>
              <w:t>Spełnia / nie spełnia*</w:t>
            </w:r>
          </w:p>
          <w:p w14:paraId="0E3A7FFD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</w:p>
        </w:tc>
      </w:tr>
      <w:tr w:rsidR="001469C7" w:rsidRPr="001469C7" w14:paraId="2011B9F9" w14:textId="77777777" w:rsidTr="00E97F70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1D85DBBE" w14:textId="77777777" w:rsidR="001469C7" w:rsidRPr="0037158A" w:rsidRDefault="001469C7" w:rsidP="0037158A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851" w:hanging="284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Musi umożliwiać analizę struktur DNA obejmującą swym zakresem:</w:t>
            </w:r>
          </w:p>
          <w:p w14:paraId="334BBFB2" w14:textId="6C12769C" w:rsidR="001469C7" w:rsidRPr="0037158A" w:rsidRDefault="001469C7" w:rsidP="0037158A">
            <w:pPr>
              <w:pStyle w:val="Akapitzlist"/>
              <w:numPr>
                <w:ilvl w:val="0"/>
                <w:numId w:val="18"/>
              </w:numPr>
              <w:suppressAutoHyphens/>
              <w:spacing w:after="160" w:line="240" w:lineRule="auto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aptamery</w:t>
            </w:r>
          </w:p>
          <w:p w14:paraId="7C05E7ED" w14:textId="1B5D233A" w:rsidR="001469C7" w:rsidRPr="0037158A" w:rsidRDefault="001469C7" w:rsidP="0037158A">
            <w:pPr>
              <w:pStyle w:val="Akapitzlist"/>
              <w:numPr>
                <w:ilvl w:val="0"/>
                <w:numId w:val="18"/>
              </w:numPr>
              <w:suppressAutoHyphens/>
              <w:spacing w:after="160" w:line="240" w:lineRule="auto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DNA origami</w:t>
            </w:r>
          </w:p>
          <w:p w14:paraId="099F6E41" w14:textId="5F1D38EB" w:rsidR="001469C7" w:rsidRPr="0037158A" w:rsidRDefault="001469C7" w:rsidP="0037158A">
            <w:pPr>
              <w:pStyle w:val="Akapitzlist"/>
              <w:numPr>
                <w:ilvl w:val="0"/>
                <w:numId w:val="18"/>
              </w:numPr>
              <w:suppressAutoHyphens/>
              <w:spacing w:after="160" w:line="240" w:lineRule="auto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LNA, PNA</w:t>
            </w:r>
          </w:p>
          <w:p w14:paraId="44557088" w14:textId="7F1D68D5" w:rsidR="001469C7" w:rsidRPr="0037158A" w:rsidRDefault="001469C7" w:rsidP="0037158A">
            <w:pPr>
              <w:pStyle w:val="Akapitzlist"/>
              <w:numPr>
                <w:ilvl w:val="0"/>
                <w:numId w:val="18"/>
              </w:numPr>
              <w:suppressAutoHyphens/>
              <w:spacing w:after="160" w:line="240" w:lineRule="auto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>pofałdowane struktury RNA</w:t>
            </w:r>
          </w:p>
        </w:tc>
        <w:tc>
          <w:tcPr>
            <w:tcW w:w="2079" w:type="pct"/>
            <w:shd w:val="clear" w:color="auto" w:fill="auto"/>
          </w:tcPr>
          <w:p w14:paraId="1CCADEBC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sz w:val="20"/>
                <w:lang w:eastAsia="zh-CN"/>
              </w:rPr>
              <w:t>Spełnia / nie spełnia*</w:t>
            </w:r>
          </w:p>
          <w:p w14:paraId="2DCF9728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</w:p>
          <w:p w14:paraId="0FE6B09A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</w:p>
        </w:tc>
      </w:tr>
      <w:tr w:rsidR="001469C7" w:rsidRPr="001469C7" w14:paraId="14741C6B" w14:textId="77777777" w:rsidTr="00E97F70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63183782" w14:textId="77777777" w:rsidR="001469C7" w:rsidRPr="0037158A" w:rsidRDefault="001469C7" w:rsidP="009B7EB9">
            <w:pPr>
              <w:pStyle w:val="Akapitzlist"/>
              <w:numPr>
                <w:ilvl w:val="0"/>
                <w:numId w:val="15"/>
              </w:numPr>
              <w:suppressAutoHyphens/>
              <w:spacing w:after="160" w:line="240" w:lineRule="auto"/>
              <w:ind w:left="851" w:hanging="284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37158A">
              <w:rPr>
                <w:rFonts w:ascii="Cambria" w:eastAsia="Calibri" w:hAnsi="Cambria" w:cs="Tahoma"/>
                <w:sz w:val="20"/>
                <w:lang w:eastAsia="zh-CN"/>
              </w:rPr>
              <w:t xml:space="preserve">Musi umożliwiać skorelowane w czasie zliczanie pojedynczych fotonów z wykorzystaniem wyznakowanych fluorescencyjnie dźwigni DNA elektrycznie wprawianych w ruch </w:t>
            </w:r>
          </w:p>
        </w:tc>
        <w:tc>
          <w:tcPr>
            <w:tcW w:w="2079" w:type="pct"/>
            <w:shd w:val="clear" w:color="auto" w:fill="auto"/>
          </w:tcPr>
          <w:p w14:paraId="33165CF4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sz w:val="20"/>
                <w:lang w:eastAsia="zh-CN"/>
              </w:rPr>
              <w:t>Spełnia / nie spełnia*</w:t>
            </w:r>
          </w:p>
          <w:p w14:paraId="7BF8D79A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</w:p>
        </w:tc>
      </w:tr>
      <w:tr w:rsidR="001469C7" w:rsidRPr="001469C7" w14:paraId="5B59EE8A" w14:textId="77777777" w:rsidTr="00E97F70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4572F6E2" w14:textId="77777777" w:rsidR="001469C7" w:rsidRPr="009B7EB9" w:rsidRDefault="001469C7" w:rsidP="009B7EB9">
            <w:pPr>
              <w:pStyle w:val="Akapitzlist"/>
              <w:numPr>
                <w:ilvl w:val="0"/>
                <w:numId w:val="15"/>
              </w:numPr>
              <w:suppressAutoHyphens/>
              <w:spacing w:after="160" w:line="240" w:lineRule="auto"/>
              <w:ind w:left="851" w:hanging="284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9B7EB9">
              <w:rPr>
                <w:rFonts w:ascii="Cambria" w:eastAsia="Calibri" w:hAnsi="Cambria" w:cs="Tahoma"/>
                <w:sz w:val="20"/>
                <w:lang w:eastAsia="zh-CN"/>
              </w:rPr>
              <w:lastRenderedPageBreak/>
              <w:t>Musi umożliwiać odczyt minimum dwóch punktów w czasie rzeczywistym</w:t>
            </w:r>
          </w:p>
        </w:tc>
        <w:tc>
          <w:tcPr>
            <w:tcW w:w="2079" w:type="pct"/>
            <w:shd w:val="clear" w:color="auto" w:fill="auto"/>
          </w:tcPr>
          <w:p w14:paraId="667616EA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sz w:val="20"/>
                <w:lang w:eastAsia="zh-CN"/>
              </w:rPr>
              <w:t>Spełnia / nie spełnia*</w:t>
            </w:r>
          </w:p>
        </w:tc>
      </w:tr>
      <w:tr w:rsidR="001469C7" w:rsidRPr="001469C7" w14:paraId="6E5B1F3F" w14:textId="77777777" w:rsidTr="00E97F70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242114AD" w14:textId="77777777" w:rsidR="001469C7" w:rsidRPr="009B7EB9" w:rsidRDefault="001469C7" w:rsidP="009B7EB9">
            <w:pPr>
              <w:pStyle w:val="Akapitzlist"/>
              <w:numPr>
                <w:ilvl w:val="0"/>
                <w:numId w:val="15"/>
              </w:numPr>
              <w:suppressAutoHyphens/>
              <w:spacing w:after="160" w:line="240" w:lineRule="auto"/>
              <w:ind w:left="851" w:hanging="284"/>
              <w:jc w:val="both"/>
              <w:rPr>
                <w:rFonts w:ascii="Cambria" w:eastAsia="Calibri" w:hAnsi="Cambria" w:cs="Tahoma"/>
                <w:sz w:val="20"/>
                <w:lang w:eastAsia="zh-CN"/>
              </w:rPr>
            </w:pPr>
            <w:r w:rsidRPr="009B7EB9">
              <w:rPr>
                <w:rFonts w:ascii="Cambria" w:eastAsia="Calibri" w:hAnsi="Cambria" w:cs="Tahoma"/>
                <w:sz w:val="20"/>
                <w:lang w:eastAsia="zh-CN"/>
              </w:rPr>
              <w:t>Musi zapewniać trzy tryby pomiaru: dynamiczny, czujnika zbliżeniowego oraz linijki molekularnej</w:t>
            </w:r>
          </w:p>
        </w:tc>
        <w:tc>
          <w:tcPr>
            <w:tcW w:w="2079" w:type="pct"/>
            <w:shd w:val="clear" w:color="auto" w:fill="auto"/>
          </w:tcPr>
          <w:p w14:paraId="242303F2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sz w:val="20"/>
                <w:lang w:eastAsia="zh-CN"/>
              </w:rPr>
              <w:t>Spełnia / nie spełnia*</w:t>
            </w:r>
          </w:p>
        </w:tc>
      </w:tr>
      <w:tr w:rsidR="001469C7" w:rsidRPr="001469C7" w14:paraId="13B4010D" w14:textId="77777777" w:rsidTr="00E97F70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38CAA6E7" w14:textId="77777777" w:rsidR="001469C7" w:rsidRPr="009B7EB9" w:rsidRDefault="001469C7" w:rsidP="009B7EB9">
            <w:pPr>
              <w:pStyle w:val="Akapitzlist"/>
              <w:numPr>
                <w:ilvl w:val="0"/>
                <w:numId w:val="15"/>
              </w:numPr>
              <w:suppressAutoHyphens/>
              <w:spacing w:line="259" w:lineRule="auto"/>
              <w:ind w:left="851" w:hanging="284"/>
              <w:rPr>
                <w:rFonts w:ascii="Cambria" w:eastAsia="Calibri" w:hAnsi="Cambria" w:cs="Tahoma"/>
                <w:sz w:val="20"/>
                <w:lang w:eastAsia="zh-CN"/>
              </w:rPr>
            </w:pPr>
            <w:r w:rsidRPr="009B7EB9">
              <w:rPr>
                <w:rFonts w:ascii="Cambria" w:eastAsia="Calibri" w:hAnsi="Cambria" w:cs="Tahoma"/>
                <w:sz w:val="20"/>
                <w:lang w:eastAsia="zh-CN"/>
              </w:rPr>
              <w:t>Limit detekcji (LOD) – nie gorszy niż 10 fM</w:t>
            </w:r>
          </w:p>
        </w:tc>
        <w:tc>
          <w:tcPr>
            <w:tcW w:w="2079" w:type="pct"/>
            <w:shd w:val="clear" w:color="auto" w:fill="auto"/>
          </w:tcPr>
          <w:p w14:paraId="5171BEDD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sz w:val="20"/>
                <w:lang w:eastAsia="zh-CN"/>
              </w:rPr>
              <w:t>Spełnia / nie spełnia*</w:t>
            </w:r>
          </w:p>
        </w:tc>
      </w:tr>
      <w:tr w:rsidR="001469C7" w:rsidRPr="001469C7" w14:paraId="4C3A6A22" w14:textId="77777777" w:rsidTr="0060375F">
        <w:trPr>
          <w:trHeight w:val="514"/>
        </w:trPr>
        <w:tc>
          <w:tcPr>
            <w:tcW w:w="2921" w:type="pct"/>
            <w:gridSpan w:val="2"/>
            <w:shd w:val="clear" w:color="auto" w:fill="auto"/>
          </w:tcPr>
          <w:p w14:paraId="7B98FE40" w14:textId="77777777" w:rsidR="001469C7" w:rsidRPr="009B7EB9" w:rsidRDefault="001469C7" w:rsidP="009B7EB9">
            <w:pPr>
              <w:pStyle w:val="Akapitzlist"/>
              <w:numPr>
                <w:ilvl w:val="0"/>
                <w:numId w:val="15"/>
              </w:numPr>
              <w:suppressAutoHyphens/>
              <w:spacing w:line="259" w:lineRule="auto"/>
              <w:ind w:left="851" w:hanging="284"/>
              <w:rPr>
                <w:rFonts w:ascii="Cambria" w:eastAsia="Calibri" w:hAnsi="Cambria" w:cs="Tahoma"/>
                <w:sz w:val="20"/>
                <w:lang w:eastAsia="zh-CN"/>
              </w:rPr>
            </w:pPr>
            <w:r w:rsidRPr="009B7EB9">
              <w:rPr>
                <w:rFonts w:ascii="Cambria" w:eastAsia="Calibri" w:hAnsi="Cambria" w:cs="Tahoma"/>
                <w:sz w:val="20"/>
                <w:lang w:eastAsia="zh-CN"/>
              </w:rPr>
              <w:t>Stała dysocjacji (KD) w zakresie nie gorszym niż 0,1 – 1 mM</w:t>
            </w:r>
          </w:p>
        </w:tc>
        <w:tc>
          <w:tcPr>
            <w:tcW w:w="2079" w:type="pct"/>
            <w:shd w:val="clear" w:color="auto" w:fill="auto"/>
          </w:tcPr>
          <w:p w14:paraId="375ED5BC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sz w:val="20"/>
                <w:lang w:eastAsia="zh-CN"/>
              </w:rPr>
              <w:t>Spełnia / nie spełnia*</w:t>
            </w:r>
          </w:p>
        </w:tc>
      </w:tr>
      <w:tr w:rsidR="001469C7" w:rsidRPr="001469C7" w14:paraId="1DAA1F79" w14:textId="77777777" w:rsidTr="0060375F">
        <w:trPr>
          <w:trHeight w:val="355"/>
        </w:trPr>
        <w:tc>
          <w:tcPr>
            <w:tcW w:w="2921" w:type="pct"/>
            <w:gridSpan w:val="2"/>
            <w:shd w:val="clear" w:color="auto" w:fill="auto"/>
          </w:tcPr>
          <w:p w14:paraId="78067636" w14:textId="77777777" w:rsidR="001469C7" w:rsidRPr="009B7EB9" w:rsidRDefault="001469C7" w:rsidP="009B7EB9">
            <w:pPr>
              <w:pStyle w:val="Akapitzlist"/>
              <w:numPr>
                <w:ilvl w:val="0"/>
                <w:numId w:val="15"/>
              </w:numPr>
              <w:suppressAutoHyphens/>
              <w:spacing w:line="259" w:lineRule="auto"/>
              <w:ind w:left="851" w:hanging="284"/>
              <w:rPr>
                <w:rFonts w:ascii="Cambria" w:eastAsia="Calibri" w:hAnsi="Cambria" w:cs="Tahoma"/>
                <w:sz w:val="20"/>
                <w:lang w:eastAsia="zh-CN"/>
              </w:rPr>
            </w:pPr>
            <w:r w:rsidRPr="009B7EB9">
              <w:rPr>
                <w:rFonts w:ascii="Cambria" w:eastAsia="Calibri" w:hAnsi="Cambria" w:cs="Tahoma"/>
                <w:sz w:val="20"/>
                <w:lang w:eastAsia="zh-CN"/>
              </w:rPr>
              <w:t xml:space="preserve">Objętość próbki od 20 do 370µl </w:t>
            </w:r>
          </w:p>
        </w:tc>
        <w:tc>
          <w:tcPr>
            <w:tcW w:w="2079" w:type="pct"/>
            <w:shd w:val="clear" w:color="auto" w:fill="auto"/>
          </w:tcPr>
          <w:p w14:paraId="2AF1E9FC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sz w:val="20"/>
                <w:lang w:eastAsia="zh-CN"/>
              </w:rPr>
              <w:t>Spełnia / nie spełnia*</w:t>
            </w:r>
          </w:p>
        </w:tc>
      </w:tr>
      <w:tr w:rsidR="001469C7" w:rsidRPr="001469C7" w14:paraId="490CE10B" w14:textId="77777777" w:rsidTr="00E97F70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71A58F0E" w14:textId="77777777" w:rsidR="0075069A" w:rsidRDefault="001469C7" w:rsidP="009B7EB9">
            <w:pPr>
              <w:pStyle w:val="Akapitzlist"/>
              <w:numPr>
                <w:ilvl w:val="0"/>
                <w:numId w:val="15"/>
              </w:numPr>
              <w:suppressAutoHyphens/>
              <w:spacing w:line="259" w:lineRule="auto"/>
              <w:ind w:left="851" w:hanging="425"/>
              <w:rPr>
                <w:rFonts w:ascii="Cambria" w:eastAsia="Calibri" w:hAnsi="Cambria" w:cs="Tahoma"/>
                <w:sz w:val="20"/>
                <w:lang w:eastAsia="zh-CN"/>
              </w:rPr>
            </w:pPr>
            <w:r w:rsidRPr="009B7EB9">
              <w:rPr>
                <w:rFonts w:ascii="Cambria" w:eastAsia="Calibri" w:hAnsi="Cambria" w:cs="Tahoma"/>
                <w:sz w:val="20"/>
                <w:lang w:eastAsia="zh-CN"/>
              </w:rPr>
              <w:t xml:space="preserve">Minimum trzy pompy - 1 strzykawkowa </w:t>
            </w:r>
          </w:p>
          <w:p w14:paraId="22861DE8" w14:textId="776E0983" w:rsidR="001469C7" w:rsidRPr="009B7EB9" w:rsidRDefault="001469C7" w:rsidP="0075069A">
            <w:pPr>
              <w:pStyle w:val="Akapitzlist"/>
              <w:suppressAutoHyphens/>
              <w:spacing w:line="259" w:lineRule="auto"/>
              <w:ind w:left="851"/>
              <w:rPr>
                <w:rFonts w:ascii="Cambria" w:eastAsia="Calibri" w:hAnsi="Cambria" w:cs="Tahoma"/>
                <w:sz w:val="20"/>
                <w:lang w:eastAsia="zh-CN"/>
              </w:rPr>
            </w:pPr>
            <w:r w:rsidRPr="009B7EB9">
              <w:rPr>
                <w:rFonts w:ascii="Cambria" w:eastAsia="Calibri" w:hAnsi="Cambria" w:cs="Tahoma"/>
                <w:sz w:val="20"/>
                <w:lang w:eastAsia="zh-CN"/>
              </w:rPr>
              <w:t xml:space="preserve">(do podawania próbki i buforu) i 2 perystaltyczne (do podawania buforu oraz roztworu płuczącego) </w:t>
            </w:r>
          </w:p>
        </w:tc>
        <w:tc>
          <w:tcPr>
            <w:tcW w:w="2079" w:type="pct"/>
            <w:shd w:val="clear" w:color="auto" w:fill="auto"/>
          </w:tcPr>
          <w:p w14:paraId="0E36028F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sz w:val="20"/>
                <w:lang w:eastAsia="zh-CN"/>
              </w:rPr>
              <w:t>Spełnia / nie spełnia*</w:t>
            </w:r>
          </w:p>
        </w:tc>
      </w:tr>
      <w:tr w:rsidR="001469C7" w:rsidRPr="001469C7" w14:paraId="3D0D2BF0" w14:textId="77777777" w:rsidTr="0060375F">
        <w:trPr>
          <w:trHeight w:val="574"/>
        </w:trPr>
        <w:tc>
          <w:tcPr>
            <w:tcW w:w="2921" w:type="pct"/>
            <w:gridSpan w:val="2"/>
            <w:shd w:val="clear" w:color="auto" w:fill="auto"/>
          </w:tcPr>
          <w:p w14:paraId="0E224C93" w14:textId="77777777" w:rsidR="001469C7" w:rsidRPr="009B7EB9" w:rsidRDefault="001469C7" w:rsidP="009B7EB9">
            <w:pPr>
              <w:pStyle w:val="Akapitzlist"/>
              <w:numPr>
                <w:ilvl w:val="0"/>
                <w:numId w:val="15"/>
              </w:numPr>
              <w:suppressAutoHyphens/>
              <w:spacing w:line="259" w:lineRule="auto"/>
              <w:ind w:left="851" w:hanging="425"/>
              <w:rPr>
                <w:rFonts w:ascii="Cambria" w:eastAsia="Calibri" w:hAnsi="Cambria" w:cs="Tahoma"/>
                <w:sz w:val="20"/>
                <w:lang w:eastAsia="zh-CN"/>
              </w:rPr>
            </w:pPr>
            <w:r w:rsidRPr="009B7EB9">
              <w:rPr>
                <w:rFonts w:ascii="Cambria" w:eastAsia="Calibri" w:hAnsi="Cambria" w:cs="Tahoma"/>
                <w:sz w:val="20"/>
                <w:lang w:eastAsia="zh-CN"/>
              </w:rPr>
              <w:t>Musi umożliwiać wykrywanie czerwonej fluoroscencji</w:t>
            </w:r>
          </w:p>
        </w:tc>
        <w:tc>
          <w:tcPr>
            <w:tcW w:w="2079" w:type="pct"/>
            <w:shd w:val="clear" w:color="auto" w:fill="auto"/>
          </w:tcPr>
          <w:p w14:paraId="54E05441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sz w:val="20"/>
                <w:lang w:eastAsia="zh-CN"/>
              </w:rPr>
              <w:t>Spełnia / nie spełnia*</w:t>
            </w:r>
          </w:p>
        </w:tc>
      </w:tr>
      <w:tr w:rsidR="001469C7" w:rsidRPr="001469C7" w14:paraId="2B12517A" w14:textId="77777777" w:rsidTr="00E97F70">
        <w:trPr>
          <w:trHeight w:val="680"/>
        </w:trPr>
        <w:tc>
          <w:tcPr>
            <w:tcW w:w="2921" w:type="pct"/>
            <w:gridSpan w:val="2"/>
            <w:shd w:val="clear" w:color="auto" w:fill="auto"/>
          </w:tcPr>
          <w:p w14:paraId="3D5B665C" w14:textId="77777777" w:rsidR="001469C7" w:rsidRPr="009B7EB9" w:rsidRDefault="001469C7" w:rsidP="009B7EB9">
            <w:pPr>
              <w:pStyle w:val="Akapitzlist"/>
              <w:numPr>
                <w:ilvl w:val="0"/>
                <w:numId w:val="15"/>
              </w:numPr>
              <w:suppressAutoHyphens/>
              <w:spacing w:line="259" w:lineRule="auto"/>
              <w:ind w:left="851" w:hanging="425"/>
              <w:rPr>
                <w:rFonts w:ascii="Cambria" w:eastAsia="Calibri" w:hAnsi="Cambria" w:cs="Tahoma"/>
                <w:sz w:val="20"/>
                <w:lang w:eastAsia="zh-CN"/>
              </w:rPr>
            </w:pPr>
            <w:r w:rsidRPr="009B7EB9">
              <w:rPr>
                <w:rFonts w:ascii="Cambria" w:eastAsia="Calibri" w:hAnsi="Cambria" w:cs="Tahoma"/>
                <w:sz w:val="20"/>
                <w:lang w:eastAsia="zh-CN"/>
              </w:rPr>
              <w:t>Autosampler co najmniej na płytki 96-dołkowe z możliwością regulacji temperatury w zakresie od minimum 10 do minimum40°C</w:t>
            </w:r>
          </w:p>
        </w:tc>
        <w:tc>
          <w:tcPr>
            <w:tcW w:w="2079" w:type="pct"/>
            <w:shd w:val="clear" w:color="auto" w:fill="auto"/>
          </w:tcPr>
          <w:p w14:paraId="7672BEE5" w14:textId="77777777" w:rsidR="001469C7" w:rsidRPr="001469C7" w:rsidRDefault="001469C7" w:rsidP="00E97F70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sz w:val="20"/>
                <w:lang w:eastAsia="zh-CN"/>
              </w:rPr>
              <w:t>Spełnia / nie spełnia*</w:t>
            </w:r>
          </w:p>
        </w:tc>
      </w:tr>
      <w:tr w:rsidR="001469C7" w:rsidRPr="001469C7" w14:paraId="462937AE" w14:textId="77777777" w:rsidTr="009B7EB9">
        <w:trPr>
          <w:trHeight w:val="552"/>
        </w:trPr>
        <w:tc>
          <w:tcPr>
            <w:tcW w:w="2921" w:type="pct"/>
            <w:gridSpan w:val="2"/>
            <w:shd w:val="clear" w:color="auto" w:fill="auto"/>
          </w:tcPr>
          <w:p w14:paraId="78CC7994" w14:textId="77777777" w:rsidR="001469C7" w:rsidRPr="009B7EB9" w:rsidRDefault="001469C7" w:rsidP="009B7EB9">
            <w:pPr>
              <w:pStyle w:val="Akapitzlist"/>
              <w:numPr>
                <w:ilvl w:val="0"/>
                <w:numId w:val="15"/>
              </w:numPr>
              <w:suppressAutoHyphens/>
              <w:spacing w:line="259" w:lineRule="auto"/>
              <w:ind w:left="851" w:hanging="425"/>
              <w:rPr>
                <w:rFonts w:ascii="Cambria" w:eastAsia="Calibri" w:hAnsi="Cambria" w:cs="Tahoma"/>
                <w:sz w:val="20"/>
                <w:lang w:eastAsia="zh-CN"/>
              </w:rPr>
            </w:pPr>
            <w:r w:rsidRPr="009B7EB9">
              <w:rPr>
                <w:rFonts w:ascii="Cambria" w:eastAsia="Calibri" w:hAnsi="Cambria" w:cs="Tahoma"/>
                <w:sz w:val="20"/>
                <w:lang w:eastAsia="zh-CN"/>
              </w:rPr>
              <w:t>Musi być wyposażony w oprogramowanie do budowy metod i analizy danych</w:t>
            </w:r>
          </w:p>
        </w:tc>
        <w:tc>
          <w:tcPr>
            <w:tcW w:w="2079" w:type="pct"/>
            <w:shd w:val="clear" w:color="auto" w:fill="auto"/>
          </w:tcPr>
          <w:p w14:paraId="36FA94BF" w14:textId="70F28771" w:rsidR="001469C7" w:rsidRPr="001469C7" w:rsidRDefault="001469C7" w:rsidP="009B7EB9">
            <w:pPr>
              <w:suppressAutoHyphens/>
              <w:spacing w:after="160"/>
              <w:rPr>
                <w:rFonts w:ascii="Cambria" w:eastAsia="Calibri" w:hAnsi="Cambria" w:cs="Tahoma"/>
                <w:sz w:val="20"/>
                <w:lang w:eastAsia="zh-CN"/>
              </w:rPr>
            </w:pPr>
            <w:r w:rsidRPr="001469C7">
              <w:rPr>
                <w:rFonts w:ascii="Cambria" w:eastAsia="Calibri" w:hAnsi="Cambria" w:cs="Tahoma"/>
                <w:sz w:val="20"/>
                <w:lang w:eastAsia="zh-CN"/>
              </w:rPr>
              <w:t>Spełnia / nie spełnia*</w:t>
            </w:r>
          </w:p>
        </w:tc>
      </w:tr>
    </w:tbl>
    <w:p w14:paraId="237F85A4" w14:textId="5BF19DFA" w:rsidR="00E502C6" w:rsidRPr="001469C7" w:rsidRDefault="00E502C6" w:rsidP="005D27FA">
      <w:pPr>
        <w:spacing w:line="240" w:lineRule="auto"/>
        <w:rPr>
          <w:rFonts w:ascii="Cambria" w:hAnsi="Cambria"/>
          <w:sz w:val="20"/>
        </w:rPr>
      </w:pPr>
      <w:r w:rsidRPr="001469C7">
        <w:rPr>
          <w:rFonts w:ascii="Cambria" w:hAnsi="Cambria"/>
          <w:sz w:val="20"/>
        </w:rPr>
        <w:t>*(</w:t>
      </w:r>
      <w:r w:rsidR="008F4075" w:rsidRPr="001469C7">
        <w:rPr>
          <w:rFonts w:ascii="Cambria" w:hAnsi="Cambria"/>
          <w:sz w:val="20"/>
        </w:rPr>
        <w:t>niepotrzebne</w:t>
      </w:r>
      <w:r w:rsidRPr="001469C7">
        <w:rPr>
          <w:rFonts w:ascii="Cambria" w:hAnsi="Cambria"/>
          <w:sz w:val="20"/>
        </w:rPr>
        <w:t xml:space="preserve"> skreślić)</w:t>
      </w:r>
    </w:p>
    <w:p w14:paraId="7DB09F8E" w14:textId="77777777" w:rsidR="00700FA8" w:rsidRPr="001469C7" w:rsidRDefault="00700FA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2E04A5E0" w14:textId="77777777" w:rsidR="00632959" w:rsidRPr="001469C7" w:rsidRDefault="00632959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43E36ECD" w14:textId="77777777" w:rsidR="004F4BC8" w:rsidRPr="001469C7" w:rsidRDefault="004F4BC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7E99B481" w14:textId="77777777" w:rsidR="004F4BC8" w:rsidRPr="001469C7" w:rsidRDefault="004F4BC8" w:rsidP="004F4BC8">
      <w:pPr>
        <w:suppressAutoHyphens/>
        <w:spacing w:line="240" w:lineRule="auto"/>
        <w:ind w:right="-3"/>
        <w:jc w:val="both"/>
        <w:rPr>
          <w:rFonts w:ascii="Cambria" w:hAnsi="Cambria" w:cs="Arial"/>
          <w:b/>
          <w:bCs/>
          <w:i/>
          <w:sz w:val="20"/>
          <w:lang w:eastAsia="ar-SA"/>
        </w:rPr>
      </w:pPr>
      <w:r w:rsidRPr="001469C7">
        <w:rPr>
          <w:rFonts w:ascii="Cambria" w:hAnsi="Cambria" w:cs="Arial"/>
          <w:b/>
          <w:bCs/>
          <w:i/>
          <w:sz w:val="20"/>
          <w:u w:val="single"/>
          <w:lang w:eastAsia="ar-SA"/>
        </w:rPr>
        <w:t>Formularz przedmiotowy ma być podpisany kwalifikowanym podpisem elektronicznym</w:t>
      </w:r>
      <w:r w:rsidRPr="001469C7">
        <w:rPr>
          <w:rFonts w:ascii="Cambria" w:hAnsi="Cambria" w:cs="Arial"/>
          <w:b/>
          <w:bCs/>
          <w:i/>
          <w:sz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071E8BB0" w14:textId="77777777" w:rsidR="004F4BC8" w:rsidRPr="001469C7" w:rsidRDefault="004F4BC8" w:rsidP="005D27FA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09AF1CDC" w14:textId="77777777" w:rsidR="001469C7" w:rsidRPr="001469C7" w:rsidRDefault="001469C7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sectPr w:rsidR="001469C7" w:rsidRPr="001469C7" w:rsidSect="00702288">
      <w:headerReference w:type="default" r:id="rId10"/>
      <w:footerReference w:type="default" r:id="rId11"/>
      <w:pgSz w:w="11906" w:h="16838"/>
      <w:pgMar w:top="933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2A806" w14:textId="77777777" w:rsidR="007D7F53" w:rsidRDefault="007D7F53" w:rsidP="00BC7B26">
      <w:pPr>
        <w:spacing w:line="240" w:lineRule="auto"/>
      </w:pPr>
      <w:r>
        <w:separator/>
      </w:r>
    </w:p>
  </w:endnote>
  <w:endnote w:type="continuationSeparator" w:id="0">
    <w:p w14:paraId="55A7A015" w14:textId="77777777" w:rsidR="007D7F53" w:rsidRDefault="007D7F53" w:rsidP="00B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892A7" w14:textId="77777777" w:rsidR="00702288" w:rsidRPr="00E00C67" w:rsidRDefault="00702288" w:rsidP="00702288">
    <w:pPr>
      <w:pBdr>
        <w:top w:val="single" w:sz="4" w:space="0" w:color="auto"/>
      </w:pBdr>
      <w:spacing w:line="240" w:lineRule="auto"/>
      <w:rPr>
        <w:rFonts w:ascii="Cambria" w:hAnsi="Cambria" w:cs="Arial"/>
        <w:sz w:val="20"/>
      </w:rPr>
    </w:pPr>
    <w:r w:rsidRPr="00930848"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 w:rsidRPr="00930848">
      <w:rPr>
        <w:rFonts w:ascii="Cambria" w:hAnsi="Cambria" w:cs="Arial"/>
        <w:iCs/>
        <w:sz w:val="18"/>
        <w:szCs w:val="16"/>
      </w:rPr>
      <w:br/>
    </w:r>
    <w:r w:rsidRPr="00896A29">
      <w:rPr>
        <w:rFonts w:ascii="Cambria" w:hAnsi="Cambria" w:cs="Arial"/>
        <w:iCs/>
        <w:sz w:val="18"/>
        <w:szCs w:val="16"/>
      </w:rPr>
      <w:t>ul. Jana Bażyńskiego 8, 80-309 Gdańsk, fa</w:t>
    </w:r>
    <w:r>
      <w:rPr>
        <w:rFonts w:ascii="Cambria" w:hAnsi="Cambria" w:cs="Arial"/>
        <w:iCs/>
        <w:sz w:val="18"/>
        <w:szCs w:val="16"/>
      </w:rPr>
      <w:t xml:space="preserve">x:  </w:t>
    </w:r>
    <w:r w:rsidRPr="00896A29">
      <w:rPr>
        <w:rFonts w:ascii="Cambria" w:hAnsi="Cambria" w:cs="Arial"/>
        <w:iCs/>
        <w:sz w:val="18"/>
        <w:szCs w:val="16"/>
      </w:rPr>
      <w:t>58</w:t>
    </w:r>
    <w:r>
      <w:rPr>
        <w:rFonts w:ascii="Cambria" w:hAnsi="Cambria" w:cs="Arial"/>
        <w:iCs/>
        <w:sz w:val="18"/>
        <w:szCs w:val="16"/>
      </w:rPr>
      <w:t> </w:t>
    </w:r>
    <w:r w:rsidRPr="00896A29">
      <w:rPr>
        <w:rFonts w:ascii="Cambria" w:hAnsi="Cambria" w:cs="Arial"/>
        <w:iCs/>
        <w:sz w:val="18"/>
        <w:szCs w:val="16"/>
      </w:rPr>
      <w:t>523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31</w:t>
    </w:r>
    <w:r>
      <w:rPr>
        <w:rFonts w:ascii="Cambria" w:hAnsi="Cambria" w:cs="Arial"/>
        <w:iCs/>
        <w:sz w:val="18"/>
        <w:szCs w:val="16"/>
      </w:rPr>
      <w:t xml:space="preserve"> </w:t>
    </w:r>
    <w:r w:rsidRPr="00896A29">
      <w:rPr>
        <w:rFonts w:ascii="Cambria" w:hAnsi="Cambria" w:cs="Arial"/>
        <w:iCs/>
        <w:sz w:val="18"/>
        <w:szCs w:val="16"/>
      </w:rPr>
      <w:t>10</w:t>
    </w:r>
    <w:r>
      <w:rPr>
        <w:rFonts w:ascii="Cambria" w:hAnsi="Cambria" w:cs="Arial"/>
        <w:iCs/>
        <w:sz w:val="18"/>
        <w:szCs w:val="16"/>
      </w:rPr>
      <w:t xml:space="preserve">, e-mail: </w:t>
    </w:r>
    <w:hyperlink r:id="rId1" w:history="1">
      <w:r w:rsidRPr="00F873AC">
        <w:rPr>
          <w:rStyle w:val="Hipercze"/>
          <w:rFonts w:ascii="Cambria" w:hAnsi="Cambria" w:cs="Arial"/>
          <w:iCs/>
          <w:sz w:val="18"/>
          <w:szCs w:val="16"/>
        </w:rPr>
        <w:t>sekretariatdzp@ug.edu.pl</w:t>
      </w:r>
    </w:hyperlink>
  </w:p>
  <w:p w14:paraId="2EAEE2F1" w14:textId="77777777" w:rsidR="00702288" w:rsidRPr="00CA2AA6" w:rsidRDefault="00702288" w:rsidP="00702288">
    <w:pPr>
      <w:pStyle w:val="Stopka"/>
      <w:jc w:val="right"/>
      <w:rPr>
        <w:rFonts w:ascii="Cambria" w:hAnsi="Cambria" w:cs="Arial"/>
        <w:i/>
        <w:sz w:val="18"/>
        <w:szCs w:val="18"/>
      </w:rPr>
    </w:pPr>
    <w:r w:rsidRPr="00CA2AA6">
      <w:rPr>
        <w:rFonts w:ascii="Cambria" w:hAnsi="Cambria" w:cs="Arial"/>
        <w:sz w:val="18"/>
        <w:szCs w:val="18"/>
      </w:rPr>
      <w:t xml:space="preserve">str. </w:t>
    </w:r>
    <w:r w:rsidRPr="00CA2AA6">
      <w:rPr>
        <w:rFonts w:ascii="Cambria" w:hAnsi="Cambria" w:cs="Arial"/>
        <w:sz w:val="18"/>
        <w:szCs w:val="18"/>
      </w:rPr>
      <w:fldChar w:fldCharType="begin"/>
    </w:r>
    <w:r w:rsidRPr="00CA2AA6">
      <w:rPr>
        <w:rFonts w:ascii="Cambria" w:hAnsi="Cambria" w:cs="Arial"/>
        <w:sz w:val="18"/>
        <w:szCs w:val="18"/>
      </w:rPr>
      <w:instrText xml:space="preserve"> PAGE    \* MERGEFORMAT </w:instrText>
    </w:r>
    <w:r w:rsidRPr="00CA2AA6">
      <w:rPr>
        <w:rFonts w:ascii="Cambria" w:hAnsi="Cambria" w:cs="Arial"/>
        <w:sz w:val="18"/>
        <w:szCs w:val="18"/>
      </w:rPr>
      <w:fldChar w:fldCharType="separate"/>
    </w:r>
    <w:r w:rsidR="00C5460C">
      <w:rPr>
        <w:rFonts w:ascii="Cambria" w:hAnsi="Cambria" w:cs="Arial"/>
        <w:noProof/>
        <w:sz w:val="18"/>
        <w:szCs w:val="18"/>
      </w:rPr>
      <w:t>1</w:t>
    </w:r>
    <w:r w:rsidRPr="00CA2AA6">
      <w:rPr>
        <w:rFonts w:ascii="Cambria" w:hAnsi="Cambria" w:cs="Arial"/>
        <w:sz w:val="18"/>
        <w:szCs w:val="18"/>
      </w:rPr>
      <w:fldChar w:fldCharType="end"/>
    </w:r>
  </w:p>
  <w:p w14:paraId="510D86D9" w14:textId="1C08A5A7" w:rsidR="00336591" w:rsidRPr="00702288" w:rsidRDefault="00336591" w:rsidP="007022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11940" w14:textId="77777777" w:rsidR="007D7F53" w:rsidRDefault="007D7F53" w:rsidP="00BC7B26">
      <w:pPr>
        <w:spacing w:line="240" w:lineRule="auto"/>
      </w:pPr>
      <w:r>
        <w:separator/>
      </w:r>
    </w:p>
  </w:footnote>
  <w:footnote w:type="continuationSeparator" w:id="0">
    <w:p w14:paraId="7985640F" w14:textId="77777777" w:rsidR="007D7F53" w:rsidRDefault="007D7F53" w:rsidP="00B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EDD4" w14:textId="7AC84C7D" w:rsidR="00E502C6" w:rsidRDefault="00702288" w:rsidP="00BC7B26">
    <w:pPr>
      <w:pStyle w:val="Nagwek"/>
      <w:jc w:val="center"/>
    </w:pPr>
    <w:r w:rsidRPr="00802AA0">
      <w:rPr>
        <w:rFonts w:cs="Arial"/>
        <w:b/>
        <w:noProof/>
        <w:color w:val="003C78"/>
      </w:rPr>
      <w:drawing>
        <wp:inline distT="0" distB="0" distL="0" distR="0" wp14:anchorId="30799683" wp14:editId="3AFC8097">
          <wp:extent cx="5760720" cy="92283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D9917" w14:textId="069162F9" w:rsidR="00443A89" w:rsidRDefault="00443A89" w:rsidP="00BD0558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</w:pPr>
    <w:r>
      <w:rPr>
        <w:rFonts w:ascii="Cambria" w:hAnsi="Cambria" w:cs="Arial"/>
        <w:b/>
        <w:sz w:val="18"/>
        <w:szCs w:val="18"/>
      </w:rPr>
      <w:t xml:space="preserve">Załącznik nr 1a </w:t>
    </w:r>
    <w:r w:rsidRPr="00291A6C">
      <w:rPr>
        <w:rFonts w:ascii="Cambria" w:hAnsi="Cambria" w:cs="Arial"/>
        <w:sz w:val="18"/>
        <w:szCs w:val="18"/>
      </w:rPr>
      <w:t>do Specyfikacji Istotnych Warunków Zamówienia</w:t>
    </w:r>
    <w:r w:rsidRPr="00CF215E">
      <w:rPr>
        <w:rFonts w:ascii="Cambria" w:hAnsi="Cambria" w:cs="Arial"/>
        <w:b/>
        <w:sz w:val="18"/>
        <w:szCs w:val="18"/>
      </w:rPr>
      <w:t xml:space="preserve"> </w:t>
    </w:r>
    <w:r w:rsidRPr="00CF215E">
      <w:rPr>
        <w:rFonts w:ascii="Cambria" w:hAnsi="Cambria" w:cs="Arial"/>
        <w:sz w:val="18"/>
        <w:szCs w:val="18"/>
      </w:rPr>
      <w:t xml:space="preserve">- </w:t>
    </w:r>
    <w:r w:rsidR="00E502C6">
      <w:rPr>
        <w:rFonts w:ascii="Cambria" w:hAnsi="Cambria" w:cs="Arial"/>
        <w:sz w:val="18"/>
        <w:szCs w:val="18"/>
      </w:rPr>
      <w:t xml:space="preserve">postępowanie nr </w:t>
    </w:r>
    <w:r w:rsidR="00BD0558">
      <w:rPr>
        <w:rFonts w:ascii="Cambria" w:hAnsi="Cambria" w:cs="Arial"/>
        <w:sz w:val="18"/>
        <w:szCs w:val="18"/>
      </w:rPr>
      <w:t>J711.291.1.</w:t>
    </w:r>
    <w:r w:rsidR="00702288">
      <w:rPr>
        <w:rFonts w:ascii="Cambria" w:hAnsi="Cambria" w:cs="Arial"/>
        <w:sz w:val="18"/>
        <w:szCs w:val="18"/>
      </w:rPr>
      <w:t>36</w:t>
    </w:r>
    <w:r w:rsidR="00BD0558">
      <w:rPr>
        <w:rFonts w:ascii="Cambria" w:hAnsi="Cambria" w:cs="Arial"/>
        <w:sz w:val="18"/>
        <w:szCs w:val="18"/>
      </w:rPr>
      <w:t>.2020.MP</w:t>
    </w:r>
  </w:p>
  <w:p w14:paraId="1DC6C493" w14:textId="77777777" w:rsidR="00443A89" w:rsidRPr="00BC7B26" w:rsidRDefault="00443A89" w:rsidP="00BC7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259"/>
    <w:multiLevelType w:val="hybridMultilevel"/>
    <w:tmpl w:val="0456D3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6155E"/>
    <w:multiLevelType w:val="hybridMultilevel"/>
    <w:tmpl w:val="4920B4B8"/>
    <w:lvl w:ilvl="0" w:tplc="E6EE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A0322"/>
    <w:multiLevelType w:val="hybridMultilevel"/>
    <w:tmpl w:val="CE448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2322C"/>
    <w:multiLevelType w:val="hybridMultilevel"/>
    <w:tmpl w:val="49E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5925"/>
    <w:multiLevelType w:val="hybridMultilevel"/>
    <w:tmpl w:val="AE42992E"/>
    <w:lvl w:ilvl="0" w:tplc="BF6E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00431"/>
    <w:multiLevelType w:val="hybridMultilevel"/>
    <w:tmpl w:val="D69A68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EC728E"/>
    <w:multiLevelType w:val="hybridMultilevel"/>
    <w:tmpl w:val="C90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C4629"/>
    <w:multiLevelType w:val="hybridMultilevel"/>
    <w:tmpl w:val="F1782C28"/>
    <w:lvl w:ilvl="0" w:tplc="1650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47B56"/>
    <w:multiLevelType w:val="hybridMultilevel"/>
    <w:tmpl w:val="AED46B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7834F0"/>
    <w:multiLevelType w:val="hybridMultilevel"/>
    <w:tmpl w:val="5B64A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222D"/>
    <w:multiLevelType w:val="hybridMultilevel"/>
    <w:tmpl w:val="C06ECF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6F2C15"/>
    <w:multiLevelType w:val="hybridMultilevel"/>
    <w:tmpl w:val="8F6A76AC"/>
    <w:lvl w:ilvl="0" w:tplc="3A9CCD5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F2925BE"/>
    <w:multiLevelType w:val="hybridMultilevel"/>
    <w:tmpl w:val="E5EAD44E"/>
    <w:lvl w:ilvl="0" w:tplc="E0EC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CD5C22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6167"/>
    <w:multiLevelType w:val="hybridMultilevel"/>
    <w:tmpl w:val="6F884814"/>
    <w:lvl w:ilvl="0" w:tplc="99B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82919"/>
    <w:multiLevelType w:val="hybridMultilevel"/>
    <w:tmpl w:val="BFF47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302A50"/>
    <w:multiLevelType w:val="hybridMultilevel"/>
    <w:tmpl w:val="1444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831675"/>
    <w:multiLevelType w:val="hybridMultilevel"/>
    <w:tmpl w:val="7A5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D698E"/>
    <w:multiLevelType w:val="hybridMultilevel"/>
    <w:tmpl w:val="60A8A936"/>
    <w:lvl w:ilvl="0" w:tplc="A6E2C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4D207B"/>
    <w:multiLevelType w:val="hybridMultilevel"/>
    <w:tmpl w:val="94143D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6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7"/>
  </w:num>
  <w:num w:numId="10">
    <w:abstractNumId w:val="4"/>
  </w:num>
  <w:num w:numId="11">
    <w:abstractNumId w:val="18"/>
  </w:num>
  <w:num w:numId="12">
    <w:abstractNumId w:val="12"/>
  </w:num>
  <w:num w:numId="13">
    <w:abstractNumId w:val="13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26"/>
    <w:rsid w:val="0003398B"/>
    <w:rsid w:val="001469C7"/>
    <w:rsid w:val="00221184"/>
    <w:rsid w:val="002241C5"/>
    <w:rsid w:val="003259D5"/>
    <w:rsid w:val="00336591"/>
    <w:rsid w:val="00345A5D"/>
    <w:rsid w:val="0037158A"/>
    <w:rsid w:val="00443A89"/>
    <w:rsid w:val="0046246E"/>
    <w:rsid w:val="004B2C26"/>
    <w:rsid w:val="004F4BC8"/>
    <w:rsid w:val="00506EE7"/>
    <w:rsid w:val="00554D40"/>
    <w:rsid w:val="00574B8B"/>
    <w:rsid w:val="005C2F18"/>
    <w:rsid w:val="005D27FA"/>
    <w:rsid w:val="005F2DA6"/>
    <w:rsid w:val="0060375F"/>
    <w:rsid w:val="00627C4A"/>
    <w:rsid w:val="00632959"/>
    <w:rsid w:val="006A17F0"/>
    <w:rsid w:val="00700FA8"/>
    <w:rsid w:val="00702288"/>
    <w:rsid w:val="00737B2D"/>
    <w:rsid w:val="0075069A"/>
    <w:rsid w:val="007633D9"/>
    <w:rsid w:val="007C6AB1"/>
    <w:rsid w:val="007D7F53"/>
    <w:rsid w:val="0088341D"/>
    <w:rsid w:val="008C1D47"/>
    <w:rsid w:val="008C382D"/>
    <w:rsid w:val="008F4075"/>
    <w:rsid w:val="00950302"/>
    <w:rsid w:val="009B7EB9"/>
    <w:rsid w:val="00A02C9C"/>
    <w:rsid w:val="00BC7B26"/>
    <w:rsid w:val="00BD0558"/>
    <w:rsid w:val="00C44E84"/>
    <w:rsid w:val="00C5460C"/>
    <w:rsid w:val="00DC3337"/>
    <w:rsid w:val="00E23C0A"/>
    <w:rsid w:val="00E46561"/>
    <w:rsid w:val="00E502C6"/>
    <w:rsid w:val="00E66D6D"/>
    <w:rsid w:val="00E97D5B"/>
    <w:rsid w:val="00F50E42"/>
    <w:rsid w:val="00F96E52"/>
    <w:rsid w:val="00FD7CBC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DA55E"/>
  <w15:docId w15:val="{FA97D835-8EFC-4FB1-A6BD-CCDD16E8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02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02BF6810AB547936BE4EEFFAC7457" ma:contentTypeVersion="4" ma:contentTypeDescription="Create a new document." ma:contentTypeScope="" ma:versionID="058e7e4989562909905c9cdb8f6d25ba">
  <xsd:schema xmlns:xsd="http://www.w3.org/2001/XMLSchema" xmlns:xs="http://www.w3.org/2001/XMLSchema" xmlns:p="http://schemas.microsoft.com/office/2006/metadata/properties" xmlns:ns2="aa350d4e-348f-4a5d-9843-33bcd4c369fa" xmlns:ns3="46ee330d-ae09-4325-b3d2-159099c5575f" targetNamespace="http://schemas.microsoft.com/office/2006/metadata/properties" ma:root="true" ma:fieldsID="ca6843c45feb78250154e3d9c250a6ad" ns2:_="" ns3:_="">
    <xsd:import namespace="aa350d4e-348f-4a5d-9843-33bcd4c369fa"/>
    <xsd:import namespace="46ee330d-ae09-4325-b3d2-159099c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0d4e-348f-4a5d-9843-33bcd4c3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0d-ae09-4325-b3d2-159099c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715AE-8F77-4EEA-8EDC-2FB2E6CE0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0A3FE5-BAF1-4ABA-BDB7-873F53B3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50d4e-348f-4a5d-9843-33bcd4c369fa"/>
    <ds:schemaRef ds:uri="46ee330d-ae09-4325-b3d2-159099c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718CE-3B31-4218-85BD-A3A535856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Magdalena Pietruszewska</cp:lastModifiedBy>
  <cp:revision>52</cp:revision>
  <cp:lastPrinted>2019-11-28T08:41:00Z</cp:lastPrinted>
  <dcterms:created xsi:type="dcterms:W3CDTF">2019-09-16T10:40:00Z</dcterms:created>
  <dcterms:modified xsi:type="dcterms:W3CDTF">2020-03-20T10:48:00Z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0x01010075102BF6810AB547936BE4EEFFAC7457</vt:lpwstr>
  </property>
</Properties>
</file>