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F3" w:rsidRPr="00C706F2" w:rsidRDefault="00C706F2" w:rsidP="00C706F2">
      <w:pPr>
        <w:jc w:val="center"/>
        <w:rPr>
          <w:rFonts w:ascii="Cambria" w:hAnsi="Cambria"/>
        </w:rPr>
      </w:pPr>
      <w:bookmarkStart w:id="0" w:name="_GoBack"/>
      <w:bookmarkEnd w:id="0"/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EkoParku Uniwersytetu Gdańskiego - ochrona gatunków zagrożonych i promocja różnorodności biologicznej poprzez rewitalizację terenów podziałkowych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implementation of Grouping and Safe-by-Design approaches within regulatory frameworks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646221 - NanoREG II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Metagenomika jako źródło innowacji (Virus-X:  Viral Metagenomics for Innovation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685778 - Virus-X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Transformacja strukturalna na rzecz odpowiedzialnych badań w zakresie nauk biologicznych (Structural Transformation to Attain Responsible BIOSciences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(Baltic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Baltic Sea Region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Subsidy Contract for the implementation of the project #R003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(Innovative management solutions for minimizing emissions of hazardous substances and exposure to ecosystems and humans at and from urban areas around the Baltic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Baltic Sea Region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Subsidy Contract for the implementation of the project #R010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(Baltic Blue Biotechnology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Baltic Sea Region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Subsidy Contract for the implementation of the project #R021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(Novel biocontrol agent for use in organic/IPM citrus cultivation: biology, phylogeny and biopesticide activity)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7C32A7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7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(Cryptography with self-testing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Transgraniczny rozwój i transfer innowacyjnych i zrównoważonych technologii akwakultury w obszarze Południowego Bałtyku (InnoAquaTech - Cross-border development and transfer of innovative and sustainable aquaculture technologies in the South Baltic area)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South Baltic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PMW do Transgraniczny rozwój i transfer innowacyjnych i zrównoważonych technologii akwakultury w obszarze Południowego Bałtyku (InnoAquaTech - Cross-border development and transfer of innovative and sustainable aquaculture technologies in the South Baltic area)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Projekt Międzynarodowy Współfinansowany (PMW) do 2014 – 2020 Interreg South Baltic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Instrumenty morskiego planowania przestrzennego w zrównoważonym zarządzaniu morskim (SEAPLANSPACE - Marine spatial planning instruments for sustainable marine governance)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Interreg South Baltic Programme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Energia dla przyszłości. Studia europejskie wobec wyzwań dla obszaru  Unii Europejskiej - Eunergy (Energy for the Future. European studies to challenges in the  European Union - Eunergy)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tylko debata "centrum-peryferia". Nowe państwa członkowskie w procesie budowy Unii Europejskiej (Beyond Core-Periphery Debates: New Member States in the Construction of European Unionpreparing the base for upcoming mutual actions)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Edukacja przyrodnicza dla lepszego życia – wsparcie nauczycieli i uczniów (Empowering Teachers and Pupils for a Better Life through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transnational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Infrastruktura i Środowisko (POIiŚ)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ACURIA - Sądy wobec postępowań restrukturyzacyjnych i upadłościowych: dobre pratyki oraz bariery w pięciu państwach UE (CURIA - Courts Under Restructuring and Insolvency Activities: best practices and blockages in five EU countries)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Justice Programme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Development and implementation of Grouping and Safe-by-Design approaches within regulatory frameworks (NanoREG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333305/PnH/2016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Metagenomika jako źródło innowacji (Viral Metagenomics for Innovation Value) (Virus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332205/PnH/2016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Transformacja strukturalna na rzecz odpowiedzialnych badań w zakresie nauk biologicznych (Structural Transformation to Attain Responsible BIOSciences)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345400/PnH/2016</w:t>
            </w:r>
          </w:p>
        </w:tc>
      </w:tr>
      <w:tr w:rsidR="00C706F2" w:rsidRPr="008455C1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Kwantowa informacja z ograniczonymi zasobami: klasyczna symulowalność, rozszerzenia do uniwersalności oraz zastosowania do kryptografii i sensingu (Quantum information with restricted resources: classical simulation, extensions to universality and applications to cryptography and sensing)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i glycozaminoglycanów (Computational approaches to study protein-glycosaminoglycan interactions)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(Facilitating blue growth with open courses by utilizing R&amp;D products and virtual mobility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South Baltic Cross-border Co-operation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ROzwój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(Innovative teaching – the lecturers of the Faculty of Economics competences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Baltic Heritage Routes.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południowego Bałtyku (Baltic Heritage Routes. Development of Heritage Tourism Infrastructure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the South Baltic Area)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South Baltic Cross-border Co-operation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 jako nośniki informacji pomiędzy komórkami epitelialnymi oraz prezentującymi antygen w celu zapewnienia miejscowej, efektywnej bariery immunologicznej (Targeted exosome-mediated crosstalk between epithelial and antigen presenting cells for effective immunity at barrier sites)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(Completing management options in the Baltic Sea Region to reduce risk of invasive species introduction by shipping)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Interreg Baltic Sea Region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Nowe związki o działaniu przeciwnowotworowym zaburzające funkcje telomerów (New anticancer compounds interfering function of telomeres)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Egzosomy wydzielane przez keratynocyty w indukcji alergii i tolerancji na alergeny środowiskowe  (Keratinocite-derived exosomes in the induction of allergy and tolerance to environmental allergen)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(Targeting mitochondrial DNA repair for novel anti-cancer therapies)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Biologii Morza Plus - Assemble Plus (Association of European Marine Biological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Oceny środowisk Bałtyku za pomocą opto-akustycznych metod bezinwazyjnych zastosowanych do mapowania i monitoringu (Baltic Sea environmental assessments by opto-acoustic remote sensing, mapping,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Kropki kwantowe do zastosowań biomedycznych/ Quantum dots for biomedical applications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Otrzymywanie wysokowydajnych tlenoazotkowych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(Solanum tuberosum L.) przed bakteriami pektynolitycznymi z rodzaju Pectobacterium spp. i Dickeya spp.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NaNoEXpo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Szczepionka przeciwko wirusowi Zika - innowacyjne otrzymywanie antygenów podjednostkowych (Anti-Zika vaccine - innovative methods for antigen construction)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Cząsteczki wirusopodobne produkowane w żywych bioreaktorach jako szczepionka przeciwko najgroźniejszej chorobie drobiu (Virus-like particles produced in life bioreactors as a vaccine against the most dangerous disease of poultry)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(The impact of time and operating conditions on the durability and functionality of traffic safety protection elements)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(Antiviral activity of interferon induced transmembrane proteins (IFITM) as a novel therapeutic strategy to control viral infections – evaluation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NoZ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Unraveling the molecular basis of DNA damage recognition and processing in human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Ocena potencjału biokoncentracji organicznych związków jonowych i jonogennych metodami in vitro, in vivo oraz in silico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 Rozwoju Uniwersytetu Gdańskiego (ProUG)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Międzynarodowe Centrum Badań nad Szczepionkami Przeciwnowotworowymi (International Centre for Cancer Vaccine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KoderJunior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KoderJunior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Kształcenie dla holistycznej, relacyjnej i inkluzywnej edukacji dzieci i młodszych uczniów (Teaching for Holistic, Relational and Inclusive Early Childhood Education)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(Trolley Systems4 Smart Cities)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(Dating fossils with molecules - innovative approach to determine the age of Baltic amber)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Kolory Inkluzji Młodzieży Metropolitalnej/ (COMIN - Color Made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Hsp70/J-protein chaperones substrate binding cycle: molecular mechanisms and functional consequences/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Emitujące w wąskich pasmach luminofory do diod świecących do oświetleń i podświetleń/ (Narrow Band Phosphors for the Application in Lighting and Backlighting of Light-Emitting Diodes)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Theory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Reconciling Europe with its Citizens through Democracy and Rule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Czynniki genetyczne gospodarza związane z procesem tworzenia cccDNA wirusa zapalenia wątroby typu B jako nowe cele terapii przeciwwirusowej i biomarkery - identyfikacja, ocena przedkliniczna i wpływ na choroby wątroby (Host factors in hepatitis B virus cccDNA formation as novel antiviral targets and biomarkers – identification, preclinical evaluation and impact for liver disease)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Infect-Era/01/2014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Stworzenie trwałej podstawy dla innowacyjnej Archeoturystyki - nowa ”zielona” trasa archeologiczna w południowym regionie Morza Bałtyckiego (Laying fixed foundations for innovative Archeotourism - a new “green” Archeoroute in the Southern Baltic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South Baltic Cross-border Co-operation Programme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ARTPAD: Achieving Resilience through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Strategie życiowe młodzieży tubyczej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Condition-dependent protease activation for targeted proteolysis in the regulation of DNA replication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:rsidR="00C706F2" w:rsidRPr="00C706F2" w:rsidRDefault="00C706F2" w:rsidP="00C706F2"/>
    <w:sectPr w:rsidR="00C706F2" w:rsidRPr="00C706F2" w:rsidSect="002F07D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D4" w:rsidRPr="002F07D4" w:rsidRDefault="007C32A7" w:rsidP="002F07D4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sdt>
      <w:sdtPr>
        <w:rPr>
          <w:rFonts w:ascii="Arial" w:eastAsia="Times New Roman" w:hAnsi="Arial" w:cs="Arial"/>
          <w:b/>
          <w:sz w:val="18"/>
          <w:szCs w:val="18"/>
          <w:lang w:eastAsia="pl-PL"/>
        </w:rPr>
        <w:id w:val="582425233"/>
        <w:docPartObj>
          <w:docPartGallery w:val="Page Numbers (Margins)"/>
          <w:docPartUnique/>
        </w:docPartObj>
      </w:sdtPr>
      <w:sdtEndPr/>
      <w:sdtContent>
        <w:r w:rsidR="004B7789" w:rsidRPr="004B7789">
          <w:rPr>
            <w:rFonts w:ascii="Arial" w:eastAsia="Times New Roman" w:hAnsi="Arial" w:cs="Arial"/>
            <w:b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789" w:rsidRDefault="004B778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C32A7" w:rsidRPr="007C32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B7789" w:rsidRDefault="004B778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C32A7" w:rsidRPr="007C32A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07D4" w:rsidRPr="004D5ED2">
      <w:rPr>
        <w:rFonts w:ascii="Arial" w:eastAsia="Times New Roman" w:hAnsi="Arial" w:cs="Arial"/>
        <w:b/>
        <w:sz w:val="18"/>
        <w:szCs w:val="18"/>
        <w:lang w:eastAsia="pl-PL"/>
      </w:rPr>
      <w:t xml:space="preserve">Załącznik nr  </w:t>
    </w:r>
    <w:r w:rsidR="00D81096">
      <w:rPr>
        <w:rFonts w:ascii="Arial" w:eastAsia="Times New Roman" w:hAnsi="Arial" w:cs="Arial"/>
        <w:b/>
        <w:sz w:val="18"/>
        <w:szCs w:val="18"/>
        <w:lang w:eastAsia="pl-PL"/>
      </w:rPr>
      <w:t>7</w:t>
    </w:r>
    <w:r w:rsidR="002F07D4" w:rsidRPr="004D5ED2">
      <w:rPr>
        <w:rFonts w:ascii="Arial" w:eastAsia="Times New Roman" w:hAnsi="Arial" w:cs="Arial"/>
        <w:sz w:val="18"/>
        <w:szCs w:val="18"/>
        <w:lang w:eastAsia="pl-PL"/>
      </w:rPr>
      <w:t xml:space="preserve">  do S</w:t>
    </w:r>
    <w:r w:rsidR="00264E3E">
      <w:rPr>
        <w:rFonts w:ascii="Arial" w:eastAsia="Times New Roman" w:hAnsi="Arial" w:cs="Arial"/>
        <w:sz w:val="18"/>
        <w:szCs w:val="18"/>
        <w:lang w:eastAsia="pl-PL"/>
      </w:rPr>
      <w:t>IWZ</w:t>
    </w:r>
    <w:r w:rsidR="002F07D4">
      <w:rPr>
        <w:rFonts w:ascii="Arial" w:eastAsia="Times New Roman" w:hAnsi="Arial" w:cs="Arial"/>
        <w:sz w:val="18"/>
        <w:szCs w:val="18"/>
        <w:lang w:eastAsia="pl-PL"/>
      </w:rPr>
      <w:t xml:space="preserve"> - postępowanie</w:t>
    </w:r>
    <w:r w:rsidR="008605F9">
      <w:rPr>
        <w:rFonts w:ascii="Arial" w:eastAsia="Times New Roman" w:hAnsi="Arial" w:cs="Arial"/>
        <w:sz w:val="18"/>
        <w:szCs w:val="18"/>
        <w:lang w:eastAsia="pl-PL"/>
      </w:rPr>
      <w:t xml:space="preserve"> A120-211-</w:t>
    </w:r>
    <w:r>
      <w:rPr>
        <w:rFonts w:ascii="Arial" w:eastAsia="Times New Roman" w:hAnsi="Arial" w:cs="Arial"/>
        <w:sz w:val="18"/>
        <w:szCs w:val="18"/>
        <w:lang w:eastAsia="pl-PL"/>
      </w:rPr>
      <w:t>98/19/RR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4"/>
    <w:rsid w:val="00030299"/>
    <w:rsid w:val="00264E3E"/>
    <w:rsid w:val="00283911"/>
    <w:rsid w:val="00291562"/>
    <w:rsid w:val="002F07D4"/>
    <w:rsid w:val="004B7789"/>
    <w:rsid w:val="005E07B9"/>
    <w:rsid w:val="00633A1D"/>
    <w:rsid w:val="00714E8E"/>
    <w:rsid w:val="00777B64"/>
    <w:rsid w:val="007C32A7"/>
    <w:rsid w:val="008455C1"/>
    <w:rsid w:val="008605F9"/>
    <w:rsid w:val="00875C79"/>
    <w:rsid w:val="0089075D"/>
    <w:rsid w:val="009869F3"/>
    <w:rsid w:val="00AB35B4"/>
    <w:rsid w:val="00C706F2"/>
    <w:rsid w:val="00D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6A0F01C-CED3-46CC-9E3D-81FD3E5E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A0C9-E55C-4F4D-967C-E3FF7CE4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BFFADB87</Template>
  <TotalTime>1</TotalTime>
  <Pages>11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Rafał Rzepecki</cp:lastModifiedBy>
  <cp:revision>10</cp:revision>
  <dcterms:created xsi:type="dcterms:W3CDTF">2019-03-04T11:43:00Z</dcterms:created>
  <dcterms:modified xsi:type="dcterms:W3CDTF">2019-07-03T09:31:00Z</dcterms:modified>
</cp:coreProperties>
</file>