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  <w:r w:rsidRPr="00C706F2">
        <w:rPr>
          <w:rFonts w:ascii="Cambria" w:hAnsi="Cambria"/>
        </w:rPr>
        <w:t>na dzień:</w:t>
      </w:r>
      <w:r>
        <w:rPr>
          <w:rFonts w:ascii="Cambria" w:hAnsi="Cambria"/>
        </w:rPr>
        <w:t xml:space="preserve"> 04.09.2018r.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FC02FC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  <w:bookmarkStart w:id="0" w:name="_GoBack"/>
        <w:bookmarkEnd w:id="0"/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56321"/>
      <w:docPartObj>
        <w:docPartGallery w:val="Page Numbers (Bottom of Page)"/>
        <w:docPartUnique/>
      </w:docPartObj>
    </w:sdtPr>
    <w:sdtContent>
      <w:p w:rsidR="00FC02FC" w:rsidRDefault="00FC0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02FC" w:rsidRDefault="00FC0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D4" w:rsidRPr="002F07D4" w:rsidRDefault="002F07D4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B4370B">
      <w:rPr>
        <w:rFonts w:ascii="Arial" w:eastAsia="Times New Roman" w:hAnsi="Arial" w:cs="Arial"/>
        <w:b/>
        <w:sz w:val="18"/>
        <w:szCs w:val="18"/>
        <w:lang w:eastAsia="pl-PL"/>
      </w:rPr>
      <w:t>8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Specyfikacji Istotnych Warunków Zamó</w:t>
    </w:r>
    <w:r>
      <w:rPr>
        <w:rFonts w:ascii="Arial" w:eastAsia="Times New Roman" w:hAnsi="Arial" w:cs="Arial"/>
        <w:sz w:val="18"/>
        <w:szCs w:val="18"/>
        <w:lang w:eastAsia="pl-PL"/>
      </w:rPr>
      <w:t>wienia - postępowanie A120-211-1</w:t>
    </w:r>
    <w:r w:rsidR="00FC02FC">
      <w:rPr>
        <w:rFonts w:ascii="Arial" w:eastAsia="Times New Roman" w:hAnsi="Arial" w:cs="Arial"/>
        <w:sz w:val="18"/>
        <w:szCs w:val="18"/>
        <w:lang w:eastAsia="pl-PL"/>
      </w:rPr>
      <w:t>89</w:t>
    </w:r>
    <w:r>
      <w:rPr>
        <w:rFonts w:ascii="Arial" w:eastAsia="Times New Roman" w:hAnsi="Arial" w:cs="Arial"/>
        <w:sz w:val="18"/>
        <w:szCs w:val="18"/>
        <w:lang w:eastAsia="pl-PL"/>
      </w:rPr>
      <w:t>/18/</w:t>
    </w:r>
    <w:r w:rsidR="00FC02FC">
      <w:rPr>
        <w:rFonts w:ascii="Arial" w:eastAsia="Times New Roman" w:hAnsi="Arial" w:cs="Arial"/>
        <w:sz w:val="18"/>
        <w:szCs w:val="18"/>
        <w:lang w:eastAsia="pl-PL"/>
      </w:rPr>
      <w:t>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4"/>
    <w:rsid w:val="00291562"/>
    <w:rsid w:val="002F07D4"/>
    <w:rsid w:val="00633A1D"/>
    <w:rsid w:val="00777B64"/>
    <w:rsid w:val="008455C1"/>
    <w:rsid w:val="009869F3"/>
    <w:rsid w:val="00A70B07"/>
    <w:rsid w:val="00AB35B4"/>
    <w:rsid w:val="00B4370B"/>
    <w:rsid w:val="00C706F2"/>
    <w:rsid w:val="00FC02FC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AC1A"/>
  <w15:chartTrackingRefBased/>
  <w15:docId w15:val="{E98D84D7-5CE6-4537-9786-30CC838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3136CEC7</Template>
  <TotalTime>2</TotalTime>
  <Pages>11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Ewa Rola</cp:lastModifiedBy>
  <cp:revision>5</cp:revision>
  <dcterms:created xsi:type="dcterms:W3CDTF">2018-11-14T12:56:00Z</dcterms:created>
  <dcterms:modified xsi:type="dcterms:W3CDTF">2018-12-05T11:36:00Z</dcterms:modified>
</cp:coreProperties>
</file>