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70757E" w:rsidRDefault="0070757E" w:rsidP="0070757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0757E">
        <w:rPr>
          <w:rFonts w:asciiTheme="majorHAnsi" w:hAnsiTheme="majorHAnsi"/>
          <w:b/>
          <w:sz w:val="20"/>
          <w:szCs w:val="20"/>
        </w:rPr>
        <w:t xml:space="preserve">Modyfikacja z </w:t>
      </w:r>
      <w:r w:rsidR="0062466F">
        <w:rPr>
          <w:rFonts w:asciiTheme="majorHAnsi" w:hAnsiTheme="majorHAnsi"/>
          <w:b/>
          <w:sz w:val="20"/>
          <w:szCs w:val="20"/>
        </w:rPr>
        <w:t>27.</w:t>
      </w:r>
      <w:bookmarkStart w:id="0" w:name="_GoBack"/>
      <w:bookmarkEnd w:id="0"/>
      <w:r w:rsidRPr="0070757E">
        <w:rPr>
          <w:rFonts w:asciiTheme="majorHAnsi" w:hAnsiTheme="majorHAnsi"/>
          <w:b/>
          <w:sz w:val="20"/>
          <w:szCs w:val="20"/>
        </w:rPr>
        <w:t>04.2018r.</w:t>
      </w:r>
    </w:p>
    <w:p w:rsidR="0070757E" w:rsidRPr="006917A2" w:rsidRDefault="0070757E" w:rsidP="0070757E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70757E">
      <w:pPr>
        <w:pStyle w:val="standardowypb"/>
        <w:spacing w:after="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D004C6" w:rsidRPr="006917A2" w:rsidRDefault="00D004C6" w:rsidP="008F1355">
      <w:pPr>
        <w:pStyle w:val="standardowypb"/>
        <w:spacing w:after="0"/>
        <w:ind w:left="284" w:hanging="284"/>
        <w:rPr>
          <w:rFonts w:asciiTheme="majorHAnsi" w:hAnsiTheme="majorHAnsi"/>
          <w:szCs w:val="20"/>
        </w:rPr>
      </w:pPr>
    </w:p>
    <w:p w:rsidR="008F1355" w:rsidRPr="008F1355" w:rsidRDefault="008F1355" w:rsidP="008F135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 xml:space="preserve">Przedmiotem zamówienia  jest  dostawa </w:t>
      </w:r>
      <w:r w:rsidR="00E644A1">
        <w:rPr>
          <w:rFonts w:asciiTheme="majorHAnsi" w:hAnsiTheme="majorHAnsi"/>
          <w:sz w:val="20"/>
          <w:szCs w:val="20"/>
        </w:rPr>
        <w:t>komory laminarnej</w:t>
      </w:r>
      <w:r w:rsidRPr="008F1355">
        <w:rPr>
          <w:rFonts w:asciiTheme="majorHAnsi" w:hAnsiTheme="majorHAnsi"/>
          <w:sz w:val="20"/>
          <w:szCs w:val="20"/>
        </w:rPr>
        <w:t xml:space="preserve"> wraz z wyposażeniem. Dostarczon</w:t>
      </w:r>
      <w:r w:rsidR="00E644A1">
        <w:rPr>
          <w:rFonts w:asciiTheme="majorHAnsi" w:hAnsiTheme="majorHAnsi"/>
          <w:sz w:val="20"/>
          <w:szCs w:val="20"/>
        </w:rPr>
        <w:t>y</w:t>
      </w:r>
      <w:r w:rsidRPr="008F1355">
        <w:rPr>
          <w:rFonts w:asciiTheme="majorHAnsi" w:hAnsiTheme="majorHAnsi"/>
          <w:sz w:val="20"/>
          <w:szCs w:val="20"/>
        </w:rPr>
        <w:t xml:space="preserve"> </w:t>
      </w:r>
      <w:r w:rsidR="00E644A1">
        <w:rPr>
          <w:rFonts w:asciiTheme="majorHAnsi" w:hAnsiTheme="majorHAnsi"/>
          <w:sz w:val="20"/>
          <w:szCs w:val="20"/>
        </w:rPr>
        <w:t>sprzęt</w:t>
      </w:r>
      <w:r w:rsidRPr="008F1355">
        <w:rPr>
          <w:rFonts w:asciiTheme="majorHAnsi" w:hAnsiTheme="majorHAnsi"/>
          <w:sz w:val="20"/>
          <w:szCs w:val="20"/>
        </w:rPr>
        <w:t xml:space="preserve"> mus</w:t>
      </w:r>
      <w:r w:rsidR="00682FB4">
        <w:rPr>
          <w:rFonts w:asciiTheme="majorHAnsi" w:hAnsiTheme="majorHAnsi"/>
          <w:sz w:val="20"/>
          <w:szCs w:val="20"/>
        </w:rPr>
        <w:t>i</w:t>
      </w:r>
      <w:r w:rsidRPr="008F1355">
        <w:rPr>
          <w:rFonts w:asciiTheme="majorHAnsi" w:hAnsiTheme="majorHAnsi"/>
          <w:sz w:val="20"/>
          <w:szCs w:val="20"/>
        </w:rPr>
        <w:t xml:space="preserve">  być 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m fabrycznie  nowym,  kompletnym,  gotowym  do  użytkowania  bez  dodatkowych  zakupów  i  inwestycji.   </w:t>
      </w:r>
    </w:p>
    <w:p w:rsidR="008F1355" w:rsidRPr="00682FB4" w:rsidRDefault="00682FB4" w:rsidP="00682FB4">
      <w:pPr>
        <w:spacing w:after="12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682FB4">
        <w:rPr>
          <w:rFonts w:asciiTheme="majorHAnsi" w:hAnsiTheme="majorHAnsi"/>
          <w:sz w:val="20"/>
          <w:szCs w:val="20"/>
        </w:rPr>
        <w:t>Dostawa obejmuje</w:t>
      </w:r>
      <w:r w:rsidR="008F1355" w:rsidRPr="00682FB4">
        <w:rPr>
          <w:rFonts w:asciiTheme="majorHAnsi" w:hAnsiTheme="majorHAnsi"/>
          <w:sz w:val="20"/>
          <w:szCs w:val="20"/>
        </w:rPr>
        <w:t xml:space="preserve">: </w:t>
      </w:r>
    </w:p>
    <w:p w:rsidR="00682FB4" w:rsidRPr="00890976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 xml:space="preserve">transport sprzętu na koszt Wykonawcy, 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>wniesieni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i ustawieni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sprzętu w miejscu wskazanym przez  Zamawiającego</w:t>
      </w:r>
      <w:r>
        <w:rPr>
          <w:rFonts w:ascii="Cambria" w:hAnsi="Cambria"/>
          <w:sz w:val="20"/>
          <w:szCs w:val="20"/>
        </w:rPr>
        <w:t>,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montaż sprzętu/ instalację i uruchomienie,</w:t>
      </w:r>
    </w:p>
    <w:p w:rsidR="008F1355" w:rsidRP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682FB4">
        <w:rPr>
          <w:rFonts w:ascii="Cambria" w:hAnsi="Cambria"/>
          <w:sz w:val="20"/>
          <w:szCs w:val="20"/>
        </w:rPr>
        <w:t>przeszkoleni</w:t>
      </w:r>
      <w:r>
        <w:rPr>
          <w:rFonts w:ascii="Cambria" w:hAnsi="Cambria"/>
          <w:sz w:val="20"/>
          <w:szCs w:val="20"/>
        </w:rPr>
        <w:t>e</w:t>
      </w:r>
      <w:r w:rsidRPr="00682FB4">
        <w:rPr>
          <w:rFonts w:ascii="Cambria" w:hAnsi="Cambria"/>
          <w:sz w:val="20"/>
          <w:szCs w:val="20"/>
        </w:rPr>
        <w:t xml:space="preserve">  minimum 2 osób w zakresie obsługi sprzętu w terminie uzgodnionym z Zamawiającym</w:t>
      </w:r>
    </w:p>
    <w:p w:rsidR="008F1355" w:rsidRDefault="008F135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604056" w:rsidRPr="00604056" w:rsidRDefault="00604056" w:rsidP="0064615D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z pionowym przepływem powietrza, min</w:t>
      </w:r>
      <w:r w:rsidRPr="009A63F7">
        <w:rPr>
          <w:rFonts w:asciiTheme="majorHAnsi" w:hAnsiTheme="majorHAnsi" w:cs="Arial"/>
          <w:b/>
          <w:spacing w:val="-4"/>
          <w:sz w:val="20"/>
          <w:szCs w:val="24"/>
        </w:rPr>
        <w:t>. II klasy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  bezpieczeństwa mikrobiologicznego,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2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Dwa wysokowydajne filtry cząstek stałych ( HEPA) -  główny i wylotowy o skuteczności nie mniejszej niż  99,5% dla cząsteczek ≥ 0,3um.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2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Komora wyposażona w 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>minimum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 jeden 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wentylator 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obsługujący filtr główny 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>i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 filtr wylotowy.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Wymiary: szerokość zewnętrzna maksymalnie do 135cm ; głębokość obszaru pracy nie mniejsza niż 58</w:t>
      </w:r>
      <w:r w:rsidR="0070757E">
        <w:rPr>
          <w:rFonts w:asciiTheme="majorHAnsi" w:hAnsiTheme="majorHAnsi" w:cs="Arial"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cm ; szerokość robocza nie mniejsza jak 120</w:t>
      </w:r>
      <w:r w:rsidR="0070757E">
        <w:rPr>
          <w:rFonts w:asciiTheme="majorHAnsi" w:hAnsiTheme="majorHAnsi" w:cs="Arial"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cm ; 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wysokość robocza nie mniejsza niż 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66 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cm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; głębokość zewnętrzna do max.</w:t>
      </w:r>
      <w:r w:rsidR="0070757E">
        <w:rPr>
          <w:rFonts w:asciiTheme="majorHAnsi" w:hAnsiTheme="majorHAnsi" w:cs="Arial"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80</w:t>
      </w:r>
      <w:r w:rsidR="0070757E">
        <w:rPr>
          <w:rFonts w:asciiTheme="majorHAnsi" w:hAnsiTheme="majorHAnsi" w:cs="Arial"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cm 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>Boki komory, pełne,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 ze stali nierdzewnej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 malowane farbami epoksydowymi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.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 xml:space="preserve">Blat roboczy ze stali nierdzewnej, dzielony (panelowy). Otwory w tylnej części blatu umiejscowione poza przestrzenią roboczą na ścianie tylnej tuż nad blatem. Wnętrze obszaru pracy </w:t>
      </w:r>
      <w:r w:rsidR="0070757E">
        <w:rPr>
          <w:rFonts w:asciiTheme="majorHAnsi" w:hAnsiTheme="majorHAnsi" w:cs="Arial"/>
          <w:color w:val="0070C0"/>
          <w:spacing w:val="-4"/>
          <w:sz w:val="20"/>
          <w:szCs w:val="24"/>
        </w:rPr>
        <w:t>wykonane ze stali nierdzewnej może być po</w:t>
      </w: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>malowane  nieodblaskowymi farbami epoksydowo-poliestrowymi.</w:t>
      </w:r>
    </w:p>
    <w:p w:rsidR="00604056" w:rsidRPr="00604056" w:rsidRDefault="00604056" w:rsidP="003E279E">
      <w:pPr>
        <w:numPr>
          <w:ilvl w:val="0"/>
          <w:numId w:val="42"/>
        </w:numPr>
        <w:shd w:val="clear" w:color="auto" w:fill="FFFFFF"/>
        <w:tabs>
          <w:tab w:val="clear" w:pos="623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Szyba frontowa: 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</w:rPr>
        <w:t>ustawiona pod kątem/skośnie (80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  <w:vertAlign w:val="superscript"/>
        </w:rPr>
        <w:t>o</w:t>
      </w:r>
      <w:r w:rsidR="003E279E">
        <w:rPr>
          <w:rStyle w:val="Pogrubienie"/>
          <w:rFonts w:asciiTheme="majorHAnsi" w:hAnsiTheme="majorHAnsi" w:cs="Arial"/>
          <w:spacing w:val="-4"/>
          <w:sz w:val="20"/>
          <w:szCs w:val="24"/>
          <w:vertAlign w:val="superscript"/>
        </w:rPr>
        <w:t xml:space="preserve">  </w:t>
      </w:r>
      <w:r w:rsidR="003E279E" w:rsidRP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>z tolerancją ±</w:t>
      </w:r>
      <w:r w:rsid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 xml:space="preserve"> </w:t>
      </w:r>
      <w:r w:rsidR="003E279E" w:rsidRPr="003E279E">
        <w:rPr>
          <w:rStyle w:val="Pogrubienie"/>
          <w:rFonts w:asciiTheme="majorHAnsi" w:hAnsiTheme="majorHAnsi" w:cs="Arial"/>
          <w:b w:val="0"/>
          <w:spacing w:val="-4"/>
          <w:sz w:val="20"/>
          <w:szCs w:val="24"/>
        </w:rPr>
        <w:t>5%</w:t>
      </w:r>
      <w:r w:rsidR="003E279E">
        <w:rPr>
          <w:rStyle w:val="Pogrubienie"/>
          <w:rFonts w:asciiTheme="majorHAnsi" w:hAnsiTheme="majorHAnsi" w:cs="Arial"/>
          <w:spacing w:val="-4"/>
          <w:sz w:val="20"/>
          <w:szCs w:val="24"/>
        </w:rPr>
        <w:t>)</w:t>
      </w:r>
      <w:r w:rsidRPr="00604056">
        <w:rPr>
          <w:rStyle w:val="Pogrubienie"/>
          <w:rFonts w:asciiTheme="majorHAnsi" w:hAnsiTheme="majorHAnsi" w:cs="Arial"/>
          <w:spacing w:val="-4"/>
          <w:sz w:val="20"/>
          <w:szCs w:val="24"/>
        </w:rPr>
        <w:t xml:space="preserve"> w stosunku do blatu roboczego ;</w:t>
      </w: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 nie przepuszczalna dla promieniowania UV ; </w:t>
      </w:r>
      <w:r w:rsidRPr="00604056">
        <w:rPr>
          <w:rFonts w:asciiTheme="majorHAnsi" w:hAnsiTheme="majorHAnsi" w:cs="Arial"/>
          <w:sz w:val="20"/>
          <w:szCs w:val="24"/>
        </w:rPr>
        <w:t xml:space="preserve">umożliwiająca całkowite zamknięcie komory od frontu oraz otworzenie komory roboczej ponad górną krawędzią szyby; przesuwana ręcznie w kierunku góra-dół;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Panel sterowniczy kontrolujący wszystkie funkcje komory. Wszystkie funkcje komory uruchamiane za pomocą niezależnych przycisków membranowych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right="600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Sterowanie mikroprocesorowe - kontrola prędkości  przepływu powietrza z aktualnie wyświetlaną na panelu kontrolnym komory wartością w  m/s  oraz sygnalizacją alarmową w przypadku nieprawidłowości.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Obecna funkcja wyświetlania na panelu sterowniczym liczby godzin pracy komory oraz lampy UV.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Oświetlenie obszaru pracy- intensywność co najmniej 1200 </w:t>
      </w:r>
      <w:proofErr w:type="spellStart"/>
      <w:r w:rsidRPr="00604056">
        <w:rPr>
          <w:rFonts w:asciiTheme="majorHAnsi" w:hAnsiTheme="majorHAnsi" w:cs="Arial"/>
          <w:spacing w:val="-4"/>
          <w:sz w:val="20"/>
          <w:szCs w:val="24"/>
        </w:rPr>
        <w:t>lux</w:t>
      </w:r>
      <w:proofErr w:type="spellEnd"/>
      <w:r w:rsidRPr="00604056">
        <w:rPr>
          <w:rFonts w:asciiTheme="majorHAnsi" w:hAnsiTheme="majorHAnsi" w:cs="Arial"/>
          <w:spacing w:val="-4"/>
          <w:sz w:val="20"/>
          <w:szCs w:val="24"/>
        </w:rPr>
        <w:t>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70757E">
        <w:rPr>
          <w:rFonts w:asciiTheme="majorHAnsi" w:hAnsiTheme="majorHAnsi" w:cs="Arial"/>
          <w:color w:val="0070C0"/>
          <w:spacing w:val="-4"/>
          <w:sz w:val="20"/>
          <w:szCs w:val="24"/>
        </w:rPr>
        <w:t>Zainstalowana lampa UV w górnej części komory z programatorem czasu pracy i blokowaniem wszystkich pozostałych funkcji komory podczas jej pracy.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z własną  podstawą, stelaż o regulowanej wysokości przynajmniej w zakresie od 75 do 95 cm, regulacja przynajmniej co 5 cm.</w:t>
      </w:r>
    </w:p>
    <w:p w:rsidR="00604056" w:rsidRPr="00604056" w:rsidRDefault="00604056" w:rsidP="0064615D">
      <w:pPr>
        <w:pStyle w:val="Tekstpodstawowy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autoSpaceDE w:val="0"/>
        <w:spacing w:after="12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Przynajmniej dwa gniazda elektryczne </w:t>
      </w:r>
    </w:p>
    <w:p w:rsidR="00604056" w:rsidRPr="00604056" w:rsidRDefault="00604056" w:rsidP="0064615D">
      <w:pPr>
        <w:pStyle w:val="Tekstpodstawowy"/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autoSpaceDE w:val="0"/>
        <w:spacing w:after="12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Zawór gazu na ścianie bocznej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wyposażona w</w:t>
      </w:r>
      <w:r w:rsidRPr="00604056">
        <w:rPr>
          <w:rFonts w:asciiTheme="majorHAnsi" w:hAnsiTheme="majorHAnsi" w:cs="Arial"/>
          <w:b/>
          <w:spacing w:val="-4"/>
          <w:sz w:val="20"/>
          <w:szCs w:val="24"/>
        </w:rPr>
        <w:t xml:space="preserve"> </w:t>
      </w:r>
      <w:r w:rsidRPr="00604056">
        <w:rPr>
          <w:rFonts w:asciiTheme="majorHAnsi" w:hAnsiTheme="majorHAnsi" w:cs="Arial"/>
          <w:spacing w:val="-4"/>
          <w:sz w:val="20"/>
          <w:szCs w:val="24"/>
        </w:rPr>
        <w:t>fabrycznie przygotowane otwory do zamontowania zaworów mediów umieszczone na obu bokach komory (co najmniej po dwa otwory).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Informacja o włączonej lampie UV poprzez dodatkową sygnalizację ( świecące diody ) na panelu sterowniczym w celu podniesienia bezpieczeństwa używania wymienionych akcesoriów.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 xml:space="preserve">Komora wyposażona w przesuwaną podporę pod ręce zapobiegającą zasłonięciu otworów wlotowych powietrza 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wyposażona w funkcję stand-by, czyli tryb oczekiwania na pracę, utrzymujący komorę w ciągłej gotowości do pracy przy jednoczesnym ograniczeniu zużycia energii. Funkcja uruchamiana zarówno z  przycisku umieszczonego na panelu sterującym jak i automatycznie po całkowitym opuszczeniu szyby frontowej.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Automatyczna kompensacja prędkości przepływu w miarę wzrostu zapchania filtrów.</w:t>
      </w:r>
    </w:p>
    <w:p w:rsidR="00604056" w:rsidRPr="00604056" w:rsidRDefault="00604056" w:rsidP="0064615D">
      <w:pPr>
        <w:numPr>
          <w:ilvl w:val="0"/>
          <w:numId w:val="42"/>
        </w:numPr>
        <w:shd w:val="clear" w:color="auto" w:fill="FFFFFF"/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Poziom głośności nie większy niż 55dB.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musi posiadać ważny certyfikat bezpieczeństwa mikrobiologicznego.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Komora musi posiadać deklaracje zgodności CE</w:t>
      </w:r>
      <w:r>
        <w:rPr>
          <w:rFonts w:asciiTheme="majorHAnsi" w:hAnsiTheme="majorHAnsi" w:cs="Arial"/>
          <w:spacing w:val="-4"/>
          <w:sz w:val="20"/>
          <w:szCs w:val="24"/>
        </w:rPr>
        <w:t>.</w:t>
      </w:r>
    </w:p>
    <w:p w:rsidR="00604056" w:rsidRPr="00604056" w:rsidRDefault="00604056" w:rsidP="0064615D">
      <w:pPr>
        <w:numPr>
          <w:ilvl w:val="0"/>
          <w:numId w:val="42"/>
        </w:numPr>
        <w:tabs>
          <w:tab w:val="left" w:pos="567"/>
        </w:tabs>
        <w:suppressAutoHyphens/>
        <w:spacing w:after="0" w:line="100" w:lineRule="atLeast"/>
        <w:ind w:left="567" w:hanging="397"/>
        <w:jc w:val="both"/>
        <w:rPr>
          <w:rFonts w:asciiTheme="majorHAnsi" w:hAnsiTheme="majorHAnsi" w:cs="Arial"/>
          <w:spacing w:val="-4"/>
          <w:sz w:val="20"/>
          <w:szCs w:val="24"/>
        </w:rPr>
      </w:pPr>
      <w:r w:rsidRPr="00604056">
        <w:rPr>
          <w:rFonts w:asciiTheme="majorHAnsi" w:hAnsiTheme="majorHAnsi" w:cs="Arial"/>
          <w:spacing w:val="-4"/>
          <w:sz w:val="20"/>
          <w:szCs w:val="24"/>
        </w:rPr>
        <w:t>W wyposażeniu dodatkowy filtr węglowy</w:t>
      </w:r>
    </w:p>
    <w:p w:rsidR="005A09DB" w:rsidRPr="00604056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04056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7E" w:rsidRDefault="0070757E" w:rsidP="00455A55">
      <w:pPr>
        <w:spacing w:after="0" w:line="240" w:lineRule="auto"/>
      </w:pPr>
      <w:r>
        <w:separator/>
      </w:r>
    </w:p>
  </w:endnote>
  <w:endnote w:type="continuationSeparator" w:id="0">
    <w:p w:rsidR="0070757E" w:rsidRDefault="0070757E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7E" w:rsidRPr="00BF1DF5" w:rsidRDefault="0070757E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70757E" w:rsidRPr="008221F8" w:rsidRDefault="0070757E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7E" w:rsidRDefault="0070757E" w:rsidP="00455A55">
      <w:pPr>
        <w:spacing w:after="0" w:line="240" w:lineRule="auto"/>
      </w:pPr>
      <w:r>
        <w:separator/>
      </w:r>
    </w:p>
  </w:footnote>
  <w:footnote w:type="continuationSeparator" w:id="0">
    <w:p w:rsidR="0070757E" w:rsidRDefault="0070757E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7E" w:rsidRPr="00BF1DF5" w:rsidRDefault="0070757E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 xml:space="preserve">Załącznik nr 1a, modyfikacja z </w:t>
    </w:r>
    <w:r w:rsidR="0062466F">
      <w:rPr>
        <w:rFonts w:asciiTheme="majorHAnsi" w:hAnsiTheme="majorHAnsi" w:cs="Arial"/>
        <w:b/>
        <w:sz w:val="18"/>
        <w:szCs w:val="20"/>
      </w:rPr>
      <w:t>27.</w:t>
    </w:r>
    <w:r>
      <w:rPr>
        <w:rFonts w:asciiTheme="majorHAnsi" w:hAnsiTheme="majorHAnsi" w:cs="Arial"/>
        <w:b/>
        <w:sz w:val="18"/>
        <w:szCs w:val="20"/>
      </w:rPr>
      <w:t>04.2018r.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>
      <w:rPr>
        <w:rFonts w:asciiTheme="majorHAnsi" w:hAnsiTheme="majorHAnsi" w:cs="Arial"/>
        <w:sz w:val="18"/>
        <w:szCs w:val="18"/>
      </w:rPr>
      <w:t>nia -</w:t>
    </w:r>
    <w:r w:rsidR="0062466F">
      <w:rPr>
        <w:rFonts w:asciiTheme="majorHAnsi" w:hAnsiTheme="majorHAnsi" w:cs="Arial"/>
        <w:sz w:val="18"/>
        <w:szCs w:val="18"/>
      </w:rPr>
      <w:br/>
    </w:r>
    <w:r>
      <w:rPr>
        <w:rFonts w:asciiTheme="majorHAnsi" w:hAnsiTheme="majorHAnsi" w:cs="Arial"/>
        <w:sz w:val="18"/>
        <w:szCs w:val="18"/>
      </w:rPr>
      <w:t xml:space="preserve"> postępowanie nr A120-211-52/18/MB</w:t>
    </w:r>
  </w:p>
  <w:p w:rsidR="0070757E" w:rsidRPr="00BF1DF5" w:rsidRDefault="0070757E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B8A2B6"/>
    <w:name w:val="WW8Num1"/>
    <w:lvl w:ilvl="0">
      <w:start w:val="1"/>
      <w:numFmt w:val="decimal"/>
      <w:lvlText w:val="%1."/>
      <w:lvlJc w:val="left"/>
      <w:pPr>
        <w:tabs>
          <w:tab w:val="num" w:pos="623"/>
        </w:tabs>
        <w:ind w:left="737" w:hanging="567"/>
      </w:pPr>
      <w:rPr>
        <w:rFonts w:asciiTheme="minorHAnsi" w:eastAsia="Calibri" w:hAnsiTheme="minorHAnsi" w:cs="Arial"/>
        <w:b w:val="0"/>
      </w:rPr>
    </w:lvl>
  </w:abstractNum>
  <w:abstractNum w:abstractNumId="1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85636A"/>
    <w:multiLevelType w:val="hybridMultilevel"/>
    <w:tmpl w:val="410261D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4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706F22"/>
    <w:multiLevelType w:val="hybridMultilevel"/>
    <w:tmpl w:val="7F763DA2"/>
    <w:lvl w:ilvl="0" w:tplc="07D825B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35"/>
  </w:num>
  <w:num w:numId="5">
    <w:abstractNumId w:val="15"/>
  </w:num>
  <w:num w:numId="6">
    <w:abstractNumId w:val="1"/>
  </w:num>
  <w:num w:numId="7">
    <w:abstractNumId w:val="6"/>
  </w:num>
  <w:num w:numId="8">
    <w:abstractNumId w:val="26"/>
  </w:num>
  <w:num w:numId="9">
    <w:abstractNumId w:val="14"/>
  </w:num>
  <w:num w:numId="10">
    <w:abstractNumId w:val="16"/>
  </w:num>
  <w:num w:numId="11">
    <w:abstractNumId w:val="33"/>
  </w:num>
  <w:num w:numId="12">
    <w:abstractNumId w:val="25"/>
  </w:num>
  <w:num w:numId="13">
    <w:abstractNumId w:val="7"/>
  </w:num>
  <w:num w:numId="14">
    <w:abstractNumId w:val="19"/>
  </w:num>
  <w:num w:numId="15">
    <w:abstractNumId w:val="23"/>
  </w:num>
  <w:num w:numId="16">
    <w:abstractNumId w:val="38"/>
  </w:num>
  <w:num w:numId="17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8"/>
  </w:num>
  <w:num w:numId="20">
    <w:abstractNumId w:val="10"/>
  </w:num>
  <w:num w:numId="21">
    <w:abstractNumId w:val="18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22"/>
  </w:num>
  <w:num w:numId="27">
    <w:abstractNumId w:val="13"/>
  </w:num>
  <w:num w:numId="28">
    <w:abstractNumId w:val="8"/>
  </w:num>
  <w:num w:numId="29">
    <w:abstractNumId w:val="9"/>
  </w:num>
  <w:num w:numId="30">
    <w:abstractNumId w:val="12"/>
  </w:num>
  <w:num w:numId="31">
    <w:abstractNumId w:val="29"/>
  </w:num>
  <w:num w:numId="32">
    <w:abstractNumId w:val="2"/>
  </w:num>
  <w:num w:numId="33">
    <w:abstractNumId w:val="4"/>
  </w:num>
  <w:num w:numId="34">
    <w:abstractNumId w:val="36"/>
  </w:num>
  <w:num w:numId="35">
    <w:abstractNumId w:val="30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0"/>
  </w:num>
  <w:num w:numId="40">
    <w:abstractNumId w:val="20"/>
  </w:num>
  <w:num w:numId="41">
    <w:abstractNumId w:val="11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279E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04056"/>
    <w:rsid w:val="00613DB4"/>
    <w:rsid w:val="006140B8"/>
    <w:rsid w:val="006141ED"/>
    <w:rsid w:val="00615153"/>
    <w:rsid w:val="0061616B"/>
    <w:rsid w:val="00617689"/>
    <w:rsid w:val="00622FBE"/>
    <w:rsid w:val="00623374"/>
    <w:rsid w:val="0062466F"/>
    <w:rsid w:val="00630C96"/>
    <w:rsid w:val="00640123"/>
    <w:rsid w:val="0064615D"/>
    <w:rsid w:val="006478C2"/>
    <w:rsid w:val="006515C9"/>
    <w:rsid w:val="00665B08"/>
    <w:rsid w:val="00665B74"/>
    <w:rsid w:val="00667C25"/>
    <w:rsid w:val="006712B1"/>
    <w:rsid w:val="0067349A"/>
    <w:rsid w:val="00680B81"/>
    <w:rsid w:val="00682FB4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0757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1355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A63F7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644A1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1A28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styleId="Pogrubienie">
    <w:name w:val="Strong"/>
    <w:qFormat/>
    <w:rsid w:val="0060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styleId="Pogrubienie">
    <w:name w:val="Strong"/>
    <w:qFormat/>
    <w:rsid w:val="0060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C4BD-A9FE-478B-B168-2D6519D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3619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Bocian</cp:lastModifiedBy>
  <cp:revision>44</cp:revision>
  <cp:lastPrinted>2017-07-24T10:58:00Z</cp:lastPrinted>
  <dcterms:created xsi:type="dcterms:W3CDTF">2017-07-19T12:06:00Z</dcterms:created>
  <dcterms:modified xsi:type="dcterms:W3CDTF">2018-04-26T12:45:00Z</dcterms:modified>
</cp:coreProperties>
</file>